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wordWrap/>
        <w:overflowPunct/>
        <w:autoSpaceDE/>
        <w:autoSpaceDN/>
        <w:spacing w:line="360" w:lineRule="auto"/>
        <w:jc w:val="left"/>
        <w:outlineLvl w:val="9"/>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附件2</w:t>
      </w:r>
    </w:p>
    <w:p>
      <w:pPr>
        <w:widowControl/>
        <w:wordWrap/>
        <w:overflowPunct/>
        <w:autoSpaceDE/>
        <w:autoSpaceDN/>
        <w:spacing w:line="360" w:lineRule="auto"/>
        <w:jc w:val="left"/>
        <w:outlineLvl w:val="9"/>
        <w:rPr>
          <w:rFonts w:hint="default" w:ascii="黑体" w:hAnsi="黑体" w:eastAsia="黑体" w:cs="黑体"/>
          <w:sz w:val="32"/>
          <w:szCs w:val="32"/>
          <w:lang w:val="en-US" w:eastAsia="zh-CN"/>
        </w:rPr>
      </w:pPr>
    </w:p>
    <w:p>
      <w:pPr>
        <w:wordWrap/>
        <w:overflowPunct/>
        <w:autoSpaceDE/>
        <w:autoSpaceDN/>
        <w:spacing w:line="594" w:lineRule="exact"/>
        <w:jc w:val="center"/>
        <w:rPr>
          <w:rFonts w:hint="eastAsia" w:ascii="Times New Roman" w:hAnsi="Times New Roman" w:eastAsia="方正小标宋简体"/>
          <w:sz w:val="44"/>
          <w:szCs w:val="44"/>
          <w:lang w:val="en-US" w:eastAsia="zh-CN"/>
        </w:rPr>
      </w:pPr>
      <w:r>
        <w:rPr>
          <w:rFonts w:hint="eastAsia" w:ascii="Times New Roman" w:hAnsi="Times New Roman" w:eastAsia="方正小标宋简体"/>
          <w:sz w:val="44"/>
          <w:szCs w:val="44"/>
        </w:rPr>
        <w:t>《</w:t>
      </w:r>
      <w:r>
        <w:rPr>
          <w:rFonts w:hint="eastAsia" w:ascii="Times New Roman" w:hAnsi="Times New Roman" w:eastAsia="方正小标宋简体"/>
          <w:sz w:val="44"/>
          <w:szCs w:val="44"/>
          <w:lang w:val="en-US" w:eastAsia="zh-CN"/>
        </w:rPr>
        <w:t>团体标准化工作经费管理合规指南</w:t>
      </w:r>
    </w:p>
    <w:p>
      <w:pPr>
        <w:wordWrap/>
        <w:overflowPunct/>
        <w:autoSpaceDE/>
        <w:autoSpaceDN/>
        <w:spacing w:line="594" w:lineRule="exact"/>
        <w:jc w:val="center"/>
        <w:rPr>
          <w:rFonts w:hint="eastAsia" w:ascii="Times New Roman" w:hAnsi="Times New Roman" w:eastAsia="方正小标宋简体"/>
          <w:sz w:val="44"/>
          <w:szCs w:val="44"/>
        </w:rPr>
      </w:pPr>
      <w:r>
        <w:rPr>
          <w:rFonts w:hint="eastAsia" w:ascii="Times New Roman" w:hAnsi="Times New Roman" w:eastAsia="方正小标宋简体" w:cs="Times New Roman"/>
          <w:sz w:val="44"/>
          <w:szCs w:val="44"/>
          <w:lang w:val="en-US" w:eastAsia="zh-CN"/>
        </w:rPr>
        <w:t>（征求意见稿）</w:t>
      </w:r>
      <w:r>
        <w:rPr>
          <w:rFonts w:hint="eastAsia" w:ascii="Times New Roman" w:hAnsi="Times New Roman" w:eastAsia="方正小标宋简体"/>
          <w:sz w:val="44"/>
          <w:szCs w:val="44"/>
        </w:rPr>
        <w:t>》编制说明</w:t>
      </w:r>
    </w:p>
    <w:p>
      <w:pPr>
        <w:wordWrap/>
        <w:overflowPunct/>
        <w:autoSpaceDE/>
        <w:autoSpaceDN/>
        <w:spacing w:line="594" w:lineRule="exact"/>
        <w:jc w:val="center"/>
        <w:rPr>
          <w:rFonts w:hint="eastAsia" w:ascii="Times New Roman" w:hAnsi="Times New Roman" w:eastAsia="方正小标宋简体"/>
          <w:sz w:val="44"/>
          <w:szCs w:val="44"/>
        </w:rPr>
      </w:pPr>
    </w:p>
    <w:p>
      <w:pPr>
        <w:wordWrap w:val="0"/>
        <w:overflowPunct w:val="0"/>
        <w:autoSpaceDE w:val="0"/>
        <w:autoSpaceDN w:val="0"/>
        <w:spacing w:line="594" w:lineRule="exact"/>
        <w:ind w:firstLine="640" w:firstLineChars="200"/>
        <w:outlineLvl w:val="0"/>
        <w:rPr>
          <w:rFonts w:ascii="Times New Roman" w:hAnsi="Times New Roman" w:eastAsia="黑体"/>
          <w:sz w:val="32"/>
          <w:szCs w:val="32"/>
        </w:rPr>
      </w:pPr>
      <w:r>
        <w:rPr>
          <w:rFonts w:hint="eastAsia" w:ascii="Times New Roman" w:hAnsi="Times New Roman" w:eastAsia="黑体"/>
          <w:sz w:val="32"/>
          <w:szCs w:val="32"/>
        </w:rPr>
        <w:t>一、编制背景</w:t>
      </w:r>
    </w:p>
    <w:p>
      <w:pPr>
        <w:wordWrap w:val="0"/>
        <w:overflowPunct w:val="0"/>
        <w:autoSpaceDE w:val="0"/>
        <w:autoSpaceDN w:val="0"/>
        <w:spacing w:line="594" w:lineRule="exact"/>
        <w:ind w:firstLine="640" w:firstLineChars="200"/>
        <w:rPr>
          <w:rFonts w:hint="eastAsia" w:ascii="Times New Roman" w:hAnsi="Times New Roman" w:eastAsia="仿宋_GB2312" w:cs="仿宋_GB2312"/>
          <w:sz w:val="32"/>
          <w:szCs w:val="32"/>
          <w:lang w:val="en-US" w:eastAsia="zh-CN" w:bidi="ar"/>
        </w:rPr>
      </w:pPr>
      <w:r>
        <w:rPr>
          <w:rFonts w:hint="eastAsia" w:ascii="Times New Roman" w:hAnsi="Times New Roman" w:eastAsia="仿宋_GB2312" w:cs="仿宋_GB2312"/>
          <w:sz w:val="32"/>
          <w:szCs w:val="32"/>
          <w:lang w:val="en-US" w:eastAsia="zh-CN" w:bidi="ar"/>
        </w:rPr>
        <w:t>党的二十届四中全会提出，加强社会组织培育管理，推动行业协会商会改革发展。当前，团体标准化工作已经成为广大社会团体参与行业治理，促进产业规范优质发展的重要抓手，成为社会组织的核心业务之一，但同时与其相关的行业乱象也逐渐显现。近期，中央部署开展社会组织乱象专项整顿工作，将“开展团体标准化活动管理不规范”列入整顿范围，其中包括利用编制团体标准乱收费等。为深入贯彻落实中央有关部署，落实专项整顿工作要求，遏制利用团体标准乱收费问题，</w:t>
      </w:r>
      <w:r>
        <w:rPr>
          <w:rFonts w:hint="eastAsia" w:ascii="Times New Roman" w:hAnsi="Times New Roman" w:eastAsia="仿宋_GB2312" w:cs="Times New Roman"/>
          <w:color w:val="auto"/>
          <w:kern w:val="0"/>
          <w:sz w:val="32"/>
          <w:szCs w:val="32"/>
          <w:lang w:val="en-US" w:eastAsia="zh-CN" w:bidi="ar"/>
        </w:rPr>
        <w:t>提升团体标准组织标准化经费合规管理水平，</w:t>
      </w:r>
      <w:r>
        <w:rPr>
          <w:rFonts w:hint="eastAsia" w:ascii="Times New Roman" w:hAnsi="Times New Roman" w:eastAsia="仿宋_GB2312" w:cs="Times New Roman"/>
          <w:color w:val="auto"/>
          <w:kern w:val="0"/>
          <w:sz w:val="32"/>
          <w:szCs w:val="32"/>
          <w:lang w:bidi="ar"/>
        </w:rPr>
        <w:t>市场监管总局</w:t>
      </w:r>
      <w:r>
        <w:rPr>
          <w:rFonts w:hint="eastAsia" w:ascii="Times New Roman" w:hAnsi="Times New Roman" w:eastAsia="仿宋_GB2312" w:cs="Times New Roman"/>
          <w:color w:val="auto"/>
          <w:kern w:val="0"/>
          <w:sz w:val="32"/>
          <w:szCs w:val="32"/>
          <w:lang w:val="en-US" w:eastAsia="zh-CN" w:bidi="ar"/>
        </w:rPr>
        <w:t>组织开展</w:t>
      </w:r>
      <w:r>
        <w:rPr>
          <w:rFonts w:hint="eastAsia" w:ascii="Times New Roman" w:hAnsi="Times New Roman" w:eastAsia="仿宋_GB2312" w:cs="Times New Roman"/>
          <w:color w:val="auto"/>
          <w:kern w:val="0"/>
          <w:sz w:val="32"/>
          <w:szCs w:val="32"/>
          <w:lang w:bidi="ar"/>
        </w:rPr>
        <w:t>《团体标准化工作经费管理合规指南》</w:t>
      </w:r>
      <w:r>
        <w:rPr>
          <w:rFonts w:hint="eastAsia" w:ascii="Times New Roman" w:hAnsi="Times New Roman" w:eastAsia="仿宋_GB2312" w:cs="Times New Roman"/>
          <w:color w:val="auto"/>
          <w:kern w:val="0"/>
          <w:sz w:val="32"/>
          <w:szCs w:val="32"/>
          <w:lang w:eastAsia="zh-CN" w:bidi="ar"/>
        </w:rPr>
        <w:t>（</w:t>
      </w:r>
      <w:r>
        <w:rPr>
          <w:rFonts w:hint="eastAsia" w:ascii="Times New Roman" w:hAnsi="Times New Roman" w:eastAsia="仿宋_GB2312" w:cs="Times New Roman"/>
          <w:color w:val="auto"/>
          <w:kern w:val="0"/>
          <w:sz w:val="32"/>
          <w:szCs w:val="32"/>
          <w:lang w:val="en-US" w:eastAsia="zh-CN" w:bidi="ar"/>
        </w:rPr>
        <w:t>以下简称《指南》</w:t>
      </w:r>
      <w:r>
        <w:rPr>
          <w:rFonts w:hint="eastAsia" w:ascii="Times New Roman" w:hAnsi="Times New Roman" w:eastAsia="仿宋_GB2312" w:cs="Times New Roman"/>
          <w:color w:val="auto"/>
          <w:kern w:val="0"/>
          <w:sz w:val="32"/>
          <w:szCs w:val="32"/>
          <w:lang w:eastAsia="zh-CN" w:bidi="ar"/>
        </w:rPr>
        <w:t>）</w:t>
      </w:r>
      <w:r>
        <w:rPr>
          <w:rFonts w:hint="eastAsia" w:ascii="Times New Roman" w:hAnsi="Times New Roman" w:eastAsia="仿宋_GB2312" w:cs="Times New Roman"/>
          <w:color w:val="auto"/>
          <w:kern w:val="0"/>
          <w:sz w:val="32"/>
          <w:szCs w:val="32"/>
          <w:lang w:val="en-US" w:eastAsia="zh-CN" w:bidi="ar"/>
        </w:rPr>
        <w:t>编制。</w:t>
      </w:r>
    </w:p>
    <w:p>
      <w:pPr>
        <w:wordWrap w:val="0"/>
        <w:overflowPunct w:val="0"/>
        <w:autoSpaceDE w:val="0"/>
        <w:autoSpaceDN w:val="0"/>
        <w:spacing w:line="594" w:lineRule="exact"/>
        <w:ind w:firstLine="640" w:firstLineChars="200"/>
        <w:outlineLvl w:val="0"/>
        <w:rPr>
          <w:rFonts w:ascii="Times New Roman" w:hAnsi="Times New Roman" w:eastAsia="黑体"/>
          <w:sz w:val="32"/>
          <w:szCs w:val="32"/>
        </w:rPr>
      </w:pPr>
      <w:r>
        <w:rPr>
          <w:rFonts w:hint="eastAsia" w:ascii="Times New Roman" w:hAnsi="Times New Roman" w:eastAsia="黑体"/>
          <w:sz w:val="32"/>
          <w:szCs w:val="32"/>
        </w:rPr>
        <w:t>二、编制过程</w:t>
      </w:r>
    </w:p>
    <w:p>
      <w:pPr>
        <w:wordWrap w:val="0"/>
        <w:overflowPunct w:val="0"/>
        <w:autoSpaceDE w:val="0"/>
        <w:autoSpaceDN w:val="0"/>
        <w:spacing w:line="594" w:lineRule="exact"/>
        <w:ind w:firstLine="640" w:firstLineChars="200"/>
        <w:rPr>
          <w:rFonts w:hint="default" w:ascii="Times New Roman" w:hAnsi="Times New Roman" w:eastAsia="仿宋_GB2312" w:cs="仿宋_GB2312"/>
          <w:sz w:val="32"/>
          <w:szCs w:val="32"/>
          <w:lang w:val="en-US" w:eastAsia="zh-CN" w:bidi="ar"/>
        </w:rPr>
      </w:pPr>
      <w:r>
        <w:rPr>
          <w:rFonts w:hint="eastAsia" w:ascii="Times New Roman" w:hAnsi="Times New Roman" w:eastAsia="仿宋_GB2312" w:cs="仿宋_GB2312"/>
          <w:sz w:val="32"/>
          <w:szCs w:val="32"/>
          <w:lang w:val="en-US" w:eastAsia="zh-CN" w:bidi="ar"/>
        </w:rPr>
        <w:t>2026年3月，在《行业协会商会收费行为合规指南》的基础上，确定《指南》的主要框架，涵盖团体标准经费纳入团体标准组织预算管理，建立经费使用报告制度，明确违法违规收费的若干行为等。</w:t>
      </w:r>
    </w:p>
    <w:p>
      <w:pPr>
        <w:wordWrap w:val="0"/>
        <w:overflowPunct w:val="0"/>
        <w:autoSpaceDE w:val="0"/>
        <w:autoSpaceDN w:val="0"/>
        <w:spacing w:line="594" w:lineRule="exact"/>
        <w:ind w:firstLine="640" w:firstLineChars="200"/>
        <w:rPr>
          <w:rFonts w:hint="eastAsia" w:ascii="Times New Roman" w:hAnsi="Times New Roman" w:eastAsia="仿宋_GB2312" w:cs="仿宋_GB2312"/>
          <w:sz w:val="32"/>
          <w:szCs w:val="32"/>
          <w:lang w:val="en-US" w:eastAsia="zh-CN" w:bidi="ar"/>
        </w:rPr>
      </w:pPr>
      <w:bookmarkStart w:id="0" w:name="OLE_LINK2"/>
      <w:r>
        <w:rPr>
          <w:rFonts w:hint="eastAsia" w:ascii="Times New Roman" w:hAnsi="Times New Roman" w:eastAsia="仿宋_GB2312" w:cs="仿宋_GB2312"/>
          <w:sz w:val="32"/>
          <w:szCs w:val="32"/>
          <w:lang w:val="en-US" w:eastAsia="zh-CN" w:bidi="ar"/>
        </w:rPr>
        <w:t>2026年4月至5月，总局派员赴浙江、江苏、广东等地开展调研，与各地协会学会等就团体标准化工作进行座谈</w:t>
      </w:r>
      <w:bookmarkEnd w:id="0"/>
      <w:r>
        <w:rPr>
          <w:rFonts w:hint="eastAsia" w:ascii="Times New Roman" w:hAnsi="Times New Roman" w:eastAsia="仿宋_GB2312" w:cs="仿宋_GB2312"/>
          <w:sz w:val="32"/>
          <w:szCs w:val="32"/>
          <w:lang w:val="en-US" w:eastAsia="zh-CN" w:bidi="ar"/>
        </w:rPr>
        <w:t>，了解团体标准工作包括经费管理方面的情况，听取对团体标准规范优质发展工作的意见建议。根据座谈沟通情况，对《指南》的框架进行修改完善，形成初稿。</w:t>
      </w:r>
    </w:p>
    <w:p>
      <w:pPr>
        <w:wordWrap w:val="0"/>
        <w:overflowPunct w:val="0"/>
        <w:autoSpaceDE w:val="0"/>
        <w:autoSpaceDN w:val="0"/>
        <w:spacing w:line="594" w:lineRule="exact"/>
        <w:ind w:firstLine="640" w:firstLineChars="200"/>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6</w:t>
      </w:r>
      <w:r>
        <w:rPr>
          <w:rFonts w:hint="eastAsia" w:ascii="Times New Roman" w:hAnsi="Times New Roman" w:eastAsia="仿宋_GB2312"/>
          <w:sz w:val="32"/>
          <w:szCs w:val="32"/>
        </w:rPr>
        <w:t>年</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月</w:t>
      </w:r>
      <w:r>
        <w:rPr>
          <w:rFonts w:hint="eastAsia" w:ascii="Times New Roman" w:hAnsi="Times New Roman" w:eastAsia="仿宋_GB2312"/>
          <w:sz w:val="32"/>
          <w:szCs w:val="32"/>
          <w:lang w:val="en-US" w:eastAsia="zh-CN"/>
        </w:rPr>
        <w:t>21日</w:t>
      </w: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总局召开《指南》研讨会，来自总局标准创新司、价监竞争局，北京市市场监管局综合执法队以及社团代表等对《指南》初稿的内容进行了充分讨论，会后根据意见进行了修改完善。</w:t>
      </w:r>
    </w:p>
    <w:p>
      <w:pPr>
        <w:wordWrap w:val="0"/>
        <w:overflowPunct w:val="0"/>
        <w:autoSpaceDE w:val="0"/>
        <w:autoSpaceDN w:val="0"/>
        <w:spacing w:line="594" w:lineRule="exact"/>
        <w:ind w:firstLine="640" w:firstLineChars="200"/>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2026年6月至7月，总局派员赴广西、黑龙江等地持续对</w:t>
      </w:r>
      <w:r>
        <w:rPr>
          <w:rFonts w:hint="eastAsia" w:ascii="Times New Roman" w:hAnsi="Times New Roman" w:eastAsia="仿宋_GB2312" w:cs="仿宋_GB2312"/>
          <w:sz w:val="32"/>
          <w:szCs w:val="32"/>
          <w:lang w:val="en-US" w:eastAsia="zh-CN" w:bidi="ar"/>
        </w:rPr>
        <w:t>各地协会学会等就团体标准化工作进行调研和座谈，根据调研情况，对</w:t>
      </w:r>
      <w:r>
        <w:rPr>
          <w:rFonts w:hint="eastAsia" w:ascii="Times New Roman" w:hAnsi="Times New Roman" w:eastAsia="仿宋_GB2312"/>
          <w:sz w:val="32"/>
          <w:szCs w:val="32"/>
          <w:lang w:val="en-US" w:eastAsia="zh-CN"/>
        </w:rPr>
        <w:t>《指南》内容</w:t>
      </w:r>
      <w:r>
        <w:rPr>
          <w:rFonts w:hint="eastAsia" w:ascii="Times New Roman" w:hAnsi="Times New Roman" w:eastAsia="仿宋_GB2312"/>
          <w:sz w:val="32"/>
          <w:szCs w:val="32"/>
          <w:highlight w:val="none"/>
          <w:lang w:val="en-US" w:eastAsia="zh-CN"/>
        </w:rPr>
        <w:t>进行</w:t>
      </w:r>
      <w:r>
        <w:rPr>
          <w:rFonts w:hint="eastAsia" w:ascii="Times New Roman" w:hAnsi="Times New Roman" w:eastAsia="仿宋_GB2312"/>
          <w:sz w:val="32"/>
          <w:szCs w:val="32"/>
          <w:lang w:val="en-US" w:eastAsia="zh-CN"/>
        </w:rPr>
        <w:t>修改完善，形成征求意见稿。</w:t>
      </w:r>
    </w:p>
    <w:p>
      <w:pPr>
        <w:wordWrap w:val="0"/>
        <w:overflowPunct w:val="0"/>
        <w:autoSpaceDE w:val="0"/>
        <w:autoSpaceDN w:val="0"/>
        <w:spacing w:line="594" w:lineRule="exact"/>
        <w:ind w:firstLine="640" w:firstLineChars="200"/>
        <w:rPr>
          <w:rFonts w:hint="default"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2026年8月，总局就《指南》征求意见稿征求中社部、民政部以及部分团体标准组织意见。根据反馈意见对《指南》内容修改完善，形成本《指南（征求意见稿）》，现向社会公开征求意见。</w:t>
      </w:r>
    </w:p>
    <w:p>
      <w:pPr>
        <w:wordWrap w:val="0"/>
        <w:overflowPunct w:val="0"/>
        <w:autoSpaceDE w:val="0"/>
        <w:autoSpaceDN w:val="0"/>
        <w:spacing w:line="594" w:lineRule="exact"/>
        <w:ind w:firstLine="640" w:firstLineChars="200"/>
        <w:outlineLvl w:val="0"/>
        <w:rPr>
          <w:rFonts w:ascii="Times New Roman" w:hAnsi="Times New Roman" w:eastAsia="黑体"/>
          <w:sz w:val="32"/>
          <w:szCs w:val="32"/>
        </w:rPr>
      </w:pPr>
      <w:r>
        <w:rPr>
          <w:rFonts w:hint="eastAsia" w:ascii="Times New Roman" w:hAnsi="Times New Roman" w:eastAsia="黑体"/>
          <w:sz w:val="32"/>
          <w:szCs w:val="32"/>
        </w:rPr>
        <w:t>三、主要内容</w:t>
      </w:r>
    </w:p>
    <w:p>
      <w:pPr>
        <w:wordWrap w:val="0"/>
        <w:overflowPunct w:val="0"/>
        <w:spacing w:line="594"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指南</w:t>
      </w: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征求意见稿</w:t>
      </w:r>
      <w:r>
        <w:rPr>
          <w:rFonts w:hint="eastAsia" w:ascii="Times New Roman" w:hAnsi="Times New Roman" w:eastAsia="仿宋_GB2312"/>
          <w:sz w:val="32"/>
          <w:szCs w:val="32"/>
        </w:rPr>
        <w:t>）》共</w:t>
      </w:r>
      <w:r>
        <w:rPr>
          <w:rFonts w:hint="eastAsia" w:ascii="Times New Roman" w:hAnsi="Times New Roman" w:eastAsia="仿宋_GB2312"/>
          <w:sz w:val="32"/>
          <w:szCs w:val="32"/>
          <w:lang w:val="en-US" w:eastAsia="zh-CN"/>
        </w:rPr>
        <w:t>十六</w:t>
      </w:r>
      <w:r>
        <w:rPr>
          <w:rFonts w:hint="eastAsia" w:ascii="Times New Roman" w:hAnsi="Times New Roman" w:eastAsia="仿宋_GB2312"/>
          <w:sz w:val="32"/>
          <w:szCs w:val="32"/>
        </w:rPr>
        <w:t>条，主要规定以下内容：</w:t>
      </w:r>
    </w:p>
    <w:p>
      <w:pPr>
        <w:numPr>
          <w:ilvl w:val="0"/>
          <w:numId w:val="1"/>
        </w:numPr>
        <w:wordWrap w:val="0"/>
        <w:overflowPunct w:val="0"/>
        <w:spacing w:line="594"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lang w:val="en-US" w:eastAsia="zh-CN"/>
        </w:rPr>
        <w:t>第一条明确了制定《指南（送审稿）》的目的，即进一步</w:t>
      </w:r>
      <w:r>
        <w:rPr>
          <w:rFonts w:hint="default" w:ascii="Times New Roman" w:hAnsi="Times New Roman" w:eastAsia="仿宋_GB2312" w:cs="Times New Roman"/>
          <w:kern w:val="0"/>
          <w:sz w:val="32"/>
          <w:szCs w:val="32"/>
          <w:highlight w:val="none"/>
          <w:lang w:val="en-US" w:eastAsia="zh-CN" w:bidi="ar"/>
        </w:rPr>
        <w:t>规范社会团体在开展团体标准化活动中的经费管理和使用，</w:t>
      </w:r>
      <w:r>
        <w:rPr>
          <w:rFonts w:hint="default" w:ascii="Times New Roman" w:hAnsi="Times New Roman" w:eastAsia="仿宋_GB2312" w:cs="Times New Roman"/>
          <w:kern w:val="0"/>
          <w:sz w:val="32"/>
          <w:szCs w:val="32"/>
          <w:highlight w:val="none"/>
          <w:lang w:bidi="ar"/>
        </w:rPr>
        <w:t>杜绝</w:t>
      </w:r>
      <w:r>
        <w:rPr>
          <w:rFonts w:hint="default" w:ascii="Times New Roman" w:hAnsi="Times New Roman" w:eastAsia="仿宋_GB2312" w:cs="Times New Roman"/>
          <w:kern w:val="0"/>
          <w:sz w:val="32"/>
          <w:szCs w:val="32"/>
          <w:highlight w:val="none"/>
          <w:lang w:eastAsia="zh-CN" w:bidi="ar"/>
        </w:rPr>
        <w:t>利用</w:t>
      </w:r>
      <w:r>
        <w:rPr>
          <w:rFonts w:hint="default" w:ascii="Times New Roman" w:hAnsi="Times New Roman" w:eastAsia="仿宋_GB2312" w:cs="Times New Roman"/>
          <w:kern w:val="0"/>
          <w:sz w:val="32"/>
          <w:szCs w:val="32"/>
          <w:highlight w:val="none"/>
          <w:lang w:val="en-US" w:eastAsia="zh-CN" w:bidi="ar"/>
        </w:rPr>
        <w:t>制定</w:t>
      </w:r>
      <w:r>
        <w:rPr>
          <w:rFonts w:hint="default" w:ascii="Times New Roman" w:hAnsi="Times New Roman" w:eastAsia="仿宋_GB2312" w:cs="Times New Roman"/>
          <w:kern w:val="0"/>
          <w:sz w:val="32"/>
          <w:szCs w:val="32"/>
          <w:highlight w:val="none"/>
          <w:lang w:eastAsia="zh-CN" w:bidi="ar"/>
        </w:rPr>
        <w:t>团体标准乱收费</w:t>
      </w:r>
      <w:r>
        <w:rPr>
          <w:rFonts w:hint="default" w:ascii="Times New Roman" w:hAnsi="Times New Roman" w:eastAsia="仿宋_GB2312" w:cs="Times New Roman"/>
          <w:kern w:val="0"/>
          <w:sz w:val="32"/>
          <w:szCs w:val="32"/>
          <w:highlight w:val="none"/>
          <w:lang w:bidi="ar"/>
        </w:rPr>
        <w:t>行为，提升团体标准</w:t>
      </w:r>
      <w:r>
        <w:rPr>
          <w:rFonts w:hint="default" w:ascii="Times New Roman" w:hAnsi="Times New Roman" w:eastAsia="仿宋_GB2312" w:cs="Times New Roman"/>
          <w:kern w:val="0"/>
          <w:sz w:val="32"/>
          <w:szCs w:val="32"/>
          <w:highlight w:val="none"/>
          <w:lang w:val="en-US" w:eastAsia="zh-CN" w:bidi="ar"/>
        </w:rPr>
        <w:t>化工作</w:t>
      </w:r>
      <w:r>
        <w:rPr>
          <w:rFonts w:hint="default" w:ascii="Times New Roman" w:hAnsi="Times New Roman" w:eastAsia="仿宋_GB2312" w:cs="Times New Roman"/>
          <w:kern w:val="0"/>
          <w:sz w:val="32"/>
          <w:szCs w:val="32"/>
          <w:highlight w:val="none"/>
          <w:lang w:bidi="ar"/>
        </w:rPr>
        <w:t>效能</w:t>
      </w:r>
      <w:r>
        <w:rPr>
          <w:rFonts w:hint="eastAsia" w:ascii="Times New Roman" w:hAnsi="Times New Roman" w:eastAsia="仿宋_GB2312" w:cs="Times New Roman"/>
          <w:kern w:val="0"/>
          <w:sz w:val="32"/>
          <w:szCs w:val="32"/>
          <w:highlight w:val="none"/>
          <w:lang w:eastAsia="zh-CN" w:bidi="ar"/>
        </w:rPr>
        <w:t>。</w:t>
      </w:r>
    </w:p>
    <w:p>
      <w:pPr>
        <w:numPr>
          <w:ilvl w:val="0"/>
          <w:numId w:val="1"/>
        </w:numPr>
        <w:wordWrap w:val="0"/>
        <w:overflowPunct w:val="0"/>
        <w:spacing w:line="594"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lang w:val="en-US" w:eastAsia="zh-CN"/>
        </w:rPr>
        <w:t>第二条明确了团体标准化工作经费的定义，即团体标准组织在团体标准制定、实施应用等活动中涉及的经费。</w:t>
      </w:r>
      <w:r>
        <w:rPr>
          <w:rFonts w:hint="eastAsia" w:ascii="Times New Roman" w:hAnsi="Times New Roman" w:eastAsia="仿宋_GB2312"/>
          <w:sz w:val="32"/>
          <w:szCs w:val="32"/>
          <w:lang w:val="en-US" w:eastAsia="zh-CN"/>
        </w:rPr>
        <w:tab/>
      </w:r>
    </w:p>
    <w:p>
      <w:pPr>
        <w:numPr>
          <w:ilvl w:val="0"/>
          <w:numId w:val="1"/>
        </w:numPr>
        <w:wordWrap w:val="0"/>
        <w:overflowPunct w:val="0"/>
        <w:spacing w:line="594"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第</w:t>
      </w:r>
      <w:r>
        <w:rPr>
          <w:rFonts w:hint="eastAsia" w:ascii="Times New Roman" w:hAnsi="Times New Roman" w:eastAsia="仿宋_GB2312"/>
          <w:sz w:val="32"/>
          <w:szCs w:val="32"/>
          <w:lang w:val="en-US" w:eastAsia="zh-CN"/>
        </w:rPr>
        <w:t>三</w:t>
      </w:r>
      <w:r>
        <w:rPr>
          <w:rFonts w:hint="eastAsia" w:ascii="Times New Roman" w:hAnsi="Times New Roman" w:eastAsia="仿宋_GB2312"/>
          <w:sz w:val="32"/>
          <w:szCs w:val="32"/>
        </w:rPr>
        <w:t>条</w:t>
      </w:r>
      <w:r>
        <w:rPr>
          <w:rFonts w:hint="eastAsia" w:ascii="Times New Roman" w:hAnsi="Times New Roman" w:eastAsia="仿宋_GB2312"/>
          <w:sz w:val="32"/>
          <w:szCs w:val="32"/>
          <w:lang w:val="en-US" w:eastAsia="zh-CN"/>
        </w:rPr>
        <w:t>明确了团体标准化工作经费使用和管理的原则</w:t>
      </w:r>
      <w:r>
        <w:rPr>
          <w:rFonts w:hint="eastAsia" w:ascii="Times New Roman" w:hAnsi="Times New Roman" w:eastAsia="仿宋_GB2312" w:cs="Times New Roman"/>
          <w:kern w:val="0"/>
          <w:sz w:val="32"/>
          <w:szCs w:val="32"/>
          <w:highlight w:val="none"/>
          <w:lang w:bidi="ar"/>
        </w:rPr>
        <w:t>，</w:t>
      </w:r>
      <w:r>
        <w:rPr>
          <w:rFonts w:hint="eastAsia" w:ascii="Times New Roman" w:hAnsi="Times New Roman" w:eastAsia="仿宋_GB2312" w:cs="Times New Roman"/>
          <w:kern w:val="0"/>
          <w:sz w:val="32"/>
          <w:szCs w:val="32"/>
          <w:highlight w:val="none"/>
          <w:lang w:val="en-US" w:eastAsia="zh-CN" w:bidi="ar"/>
        </w:rPr>
        <w:t>即依法合规、公开透明。</w:t>
      </w:r>
    </w:p>
    <w:p>
      <w:pPr>
        <w:numPr>
          <w:ilvl w:val="0"/>
          <w:numId w:val="1"/>
        </w:numPr>
        <w:wordWrap w:val="0"/>
        <w:overflowPunct w:val="0"/>
        <w:spacing w:line="594" w:lineRule="exact"/>
        <w:ind w:firstLine="640" w:firstLineChars="200"/>
        <w:rPr>
          <w:rFonts w:ascii="Times New Roman" w:hAnsi="Times New Roman" w:eastAsia="仿宋_GB2312"/>
          <w:sz w:val="32"/>
          <w:szCs w:val="32"/>
        </w:rPr>
      </w:pPr>
      <w:r>
        <w:rPr>
          <w:rFonts w:hint="eastAsia" w:ascii="Times New Roman" w:hAnsi="Times New Roman" w:eastAsia="仿宋_GB2312" w:cs="Times New Roman"/>
          <w:kern w:val="0"/>
          <w:sz w:val="32"/>
          <w:szCs w:val="32"/>
          <w:highlight w:val="none"/>
          <w:lang w:val="en-US" w:eastAsia="zh-CN" w:bidi="ar"/>
        </w:rPr>
        <w:t>第四条明确了团体标准化工作经费的总体要求和经费来源，即团体标准制修订费用应由团体标准组织承担，来源可以是会费、经营服务性收入、接受捐赠和资助等。</w:t>
      </w:r>
    </w:p>
    <w:p>
      <w:pPr>
        <w:numPr>
          <w:ilvl w:val="0"/>
          <w:numId w:val="1"/>
        </w:numPr>
        <w:wordWrap w:val="0"/>
        <w:overflowPunct w:val="0"/>
        <w:spacing w:line="594" w:lineRule="exact"/>
        <w:ind w:firstLine="640" w:firstLineChars="200"/>
        <w:rPr>
          <w:rFonts w:ascii="Times New Roman" w:hAnsi="Times New Roman" w:eastAsia="仿宋_GB2312"/>
          <w:sz w:val="32"/>
          <w:szCs w:val="32"/>
        </w:rPr>
      </w:pPr>
      <w:r>
        <w:rPr>
          <w:rFonts w:hint="eastAsia" w:ascii="Times New Roman" w:hAnsi="Times New Roman" w:eastAsia="仿宋_GB2312" w:cs="Times New Roman"/>
          <w:kern w:val="0"/>
          <w:sz w:val="32"/>
          <w:szCs w:val="32"/>
          <w:highlight w:val="none"/>
          <w:lang w:val="en-US" w:eastAsia="zh-CN" w:bidi="ar"/>
        </w:rPr>
        <w:t>第五条明确了经营服务性收入的范围，包括开展标准的宣贯培训、组织实施以及授权应用等服务取得的收入。</w:t>
      </w:r>
    </w:p>
    <w:p>
      <w:pPr>
        <w:numPr>
          <w:ilvl w:val="0"/>
          <w:numId w:val="1"/>
        </w:numPr>
        <w:wordWrap w:val="0"/>
        <w:overflowPunct w:val="0"/>
        <w:spacing w:line="594" w:lineRule="exact"/>
        <w:ind w:firstLine="640" w:firstLineChars="200"/>
        <w:rPr>
          <w:rFonts w:ascii="Times New Roman" w:hAnsi="Times New Roman" w:eastAsia="仿宋_GB2312"/>
          <w:sz w:val="32"/>
          <w:szCs w:val="32"/>
        </w:rPr>
      </w:pPr>
      <w:r>
        <w:rPr>
          <w:rFonts w:hint="eastAsia" w:ascii="Times New Roman" w:hAnsi="Times New Roman" w:eastAsia="仿宋_GB2312" w:cs="Times New Roman"/>
          <w:kern w:val="0"/>
          <w:sz w:val="32"/>
          <w:szCs w:val="32"/>
          <w:highlight w:val="none"/>
          <w:lang w:val="en-US" w:eastAsia="zh-CN" w:bidi="ar"/>
        </w:rPr>
        <w:t>第六条明确了接受捐赠和资助的要求，即要</w:t>
      </w:r>
      <w:r>
        <w:rPr>
          <w:rFonts w:hint="default" w:ascii="Times New Roman" w:hAnsi="Times New Roman" w:eastAsia="仿宋_GB2312" w:cs="Times New Roman"/>
          <w:color w:val="auto"/>
          <w:kern w:val="0"/>
          <w:sz w:val="32"/>
          <w:szCs w:val="32"/>
          <w:highlight w:val="none"/>
          <w:lang w:eastAsia="zh-CN" w:bidi="ar"/>
        </w:rPr>
        <w:t>与捐赠、</w:t>
      </w:r>
      <w:r>
        <w:rPr>
          <w:rFonts w:hint="default" w:ascii="Times New Roman" w:hAnsi="Times New Roman" w:eastAsia="仿宋_GB2312" w:cs="Times New Roman"/>
          <w:color w:val="auto"/>
          <w:kern w:val="0"/>
          <w:sz w:val="32"/>
          <w:szCs w:val="32"/>
          <w:highlight w:val="none"/>
          <w:lang w:val="en-US" w:eastAsia="zh-CN" w:bidi="ar"/>
        </w:rPr>
        <w:t>资助</w:t>
      </w:r>
      <w:r>
        <w:rPr>
          <w:rFonts w:hint="default" w:ascii="Times New Roman" w:hAnsi="Times New Roman" w:eastAsia="仿宋_GB2312" w:cs="Times New Roman"/>
          <w:color w:val="auto"/>
          <w:kern w:val="0"/>
          <w:sz w:val="32"/>
          <w:szCs w:val="32"/>
          <w:highlight w:val="none"/>
          <w:lang w:eastAsia="zh-CN" w:bidi="ar"/>
        </w:rPr>
        <w:t>方</w:t>
      </w:r>
      <w:r>
        <w:rPr>
          <w:rFonts w:hint="default" w:ascii="Times New Roman" w:hAnsi="Times New Roman" w:eastAsia="仿宋_GB2312" w:cs="Times New Roman"/>
          <w:color w:val="auto"/>
          <w:kern w:val="0"/>
          <w:sz w:val="32"/>
          <w:szCs w:val="32"/>
          <w:highlight w:val="none"/>
          <w:lang w:bidi="ar"/>
        </w:rPr>
        <w:t>签订书面协议，明确双方</w:t>
      </w:r>
      <w:r>
        <w:rPr>
          <w:rFonts w:hint="default" w:ascii="Times New Roman" w:hAnsi="Times New Roman" w:eastAsia="仿宋_GB2312" w:cs="Times New Roman"/>
          <w:color w:val="auto"/>
          <w:kern w:val="0"/>
          <w:sz w:val="32"/>
          <w:szCs w:val="32"/>
          <w:highlight w:val="none"/>
          <w:lang w:eastAsia="zh-CN" w:bidi="ar"/>
        </w:rPr>
        <w:t>权利</w:t>
      </w:r>
      <w:r>
        <w:rPr>
          <w:rFonts w:hint="default" w:ascii="Times New Roman" w:hAnsi="Times New Roman" w:eastAsia="仿宋_GB2312" w:cs="Times New Roman"/>
          <w:color w:val="auto"/>
          <w:kern w:val="0"/>
          <w:sz w:val="32"/>
          <w:szCs w:val="32"/>
          <w:highlight w:val="none"/>
          <w:lang w:bidi="ar"/>
        </w:rPr>
        <w:t>义</w:t>
      </w:r>
      <w:r>
        <w:rPr>
          <w:rFonts w:hint="default" w:ascii="Times New Roman" w:hAnsi="Times New Roman" w:eastAsia="仿宋_GB2312" w:cs="Times New Roman"/>
          <w:kern w:val="0"/>
          <w:sz w:val="32"/>
          <w:szCs w:val="32"/>
          <w:highlight w:val="none"/>
          <w:lang w:bidi="ar"/>
        </w:rPr>
        <w:t>务、</w:t>
      </w:r>
      <w:r>
        <w:rPr>
          <w:rFonts w:hint="default" w:ascii="Times New Roman" w:hAnsi="Times New Roman" w:eastAsia="仿宋_GB2312" w:cs="Times New Roman"/>
          <w:kern w:val="0"/>
          <w:sz w:val="32"/>
          <w:szCs w:val="32"/>
          <w:highlight w:val="none"/>
          <w:lang w:eastAsia="zh-CN" w:bidi="ar"/>
        </w:rPr>
        <w:t>资金用途</w:t>
      </w:r>
      <w:r>
        <w:rPr>
          <w:rFonts w:hint="default" w:ascii="Times New Roman" w:hAnsi="Times New Roman" w:eastAsia="仿宋_GB2312" w:cs="Times New Roman"/>
          <w:kern w:val="0"/>
          <w:sz w:val="32"/>
          <w:szCs w:val="32"/>
          <w:highlight w:val="none"/>
          <w:lang w:bidi="ar"/>
        </w:rPr>
        <w:t>及</w:t>
      </w:r>
      <w:r>
        <w:rPr>
          <w:rFonts w:hint="default" w:ascii="Times New Roman" w:hAnsi="Times New Roman" w:eastAsia="仿宋_GB2312" w:cs="Times New Roman"/>
          <w:kern w:val="0"/>
          <w:sz w:val="32"/>
          <w:szCs w:val="32"/>
          <w:highlight w:val="none"/>
          <w:lang w:val="en-US" w:eastAsia="zh-CN" w:bidi="ar"/>
        </w:rPr>
        <w:t>使用情况</w:t>
      </w:r>
      <w:r>
        <w:rPr>
          <w:rFonts w:hint="default" w:ascii="Times New Roman" w:hAnsi="Times New Roman" w:eastAsia="仿宋_GB2312" w:cs="Times New Roman"/>
          <w:kern w:val="0"/>
          <w:sz w:val="32"/>
          <w:szCs w:val="32"/>
          <w:highlight w:val="none"/>
          <w:lang w:bidi="ar"/>
        </w:rPr>
        <w:t>告知方式等</w:t>
      </w:r>
      <w:r>
        <w:rPr>
          <w:rFonts w:hint="default" w:ascii="Times New Roman" w:hAnsi="Times New Roman" w:eastAsia="仿宋_GB2312" w:cs="Times New Roman"/>
          <w:kern w:val="0"/>
          <w:sz w:val="32"/>
          <w:szCs w:val="32"/>
          <w:highlight w:val="none"/>
          <w:lang w:eastAsia="zh-CN" w:bidi="ar"/>
        </w:rPr>
        <w:t>。</w:t>
      </w:r>
    </w:p>
    <w:p>
      <w:pPr>
        <w:numPr>
          <w:ilvl w:val="0"/>
          <w:numId w:val="1"/>
        </w:numPr>
        <w:wordWrap w:val="0"/>
        <w:overflowPunct w:val="0"/>
        <w:spacing w:line="594" w:lineRule="exact"/>
        <w:ind w:firstLine="640" w:firstLineChars="200"/>
        <w:rPr>
          <w:rFonts w:ascii="Times New Roman" w:hAnsi="Times New Roman" w:eastAsia="仿宋_GB2312"/>
          <w:sz w:val="32"/>
          <w:szCs w:val="32"/>
        </w:rPr>
      </w:pPr>
      <w:r>
        <w:rPr>
          <w:rFonts w:hint="eastAsia" w:ascii="Times New Roman" w:hAnsi="Times New Roman" w:eastAsia="仿宋_GB2312" w:cs="Times New Roman"/>
          <w:kern w:val="0"/>
          <w:sz w:val="32"/>
          <w:szCs w:val="32"/>
          <w:highlight w:val="none"/>
          <w:lang w:val="en-US" w:eastAsia="zh-CN" w:bidi="ar"/>
        </w:rPr>
        <w:t>第七条和第八条明确了团体标准化工作经费的使用范围和开支项目。</w:t>
      </w:r>
      <w:r>
        <w:rPr>
          <w:rFonts w:hint="eastAsia" w:ascii="Times New Roman" w:hAnsi="Times New Roman" w:eastAsia="仿宋_GB2312"/>
          <w:sz w:val="32"/>
          <w:szCs w:val="32"/>
          <w:lang w:val="en-US" w:eastAsia="zh-CN"/>
        </w:rPr>
        <w:t>团体标准工作经费可以用于标准制修订成本、宣贯实施成本、系统运行成本以及其他与团体标准化工作直接相关的组织管理及其他工作。</w:t>
      </w:r>
    </w:p>
    <w:p>
      <w:pPr>
        <w:numPr>
          <w:ilvl w:val="0"/>
          <w:numId w:val="1"/>
        </w:numPr>
        <w:wordWrap w:val="0"/>
        <w:overflowPunct w:val="0"/>
        <w:spacing w:line="594"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lang w:val="en-US" w:eastAsia="zh-CN"/>
        </w:rPr>
        <w:t>第九条明确了团体标准化工作经费</w:t>
      </w:r>
      <w:r>
        <w:rPr>
          <w:rFonts w:hint="default" w:ascii="Times New Roman" w:hAnsi="Times New Roman" w:eastAsia="仿宋_GB2312" w:cs="Times New Roman"/>
          <w:kern w:val="0"/>
          <w:sz w:val="32"/>
          <w:szCs w:val="32"/>
          <w:highlight w:val="none"/>
          <w:lang w:bidi="ar"/>
        </w:rPr>
        <w:t>不得用于与团体标准无关的支出，不得在</w:t>
      </w:r>
      <w:r>
        <w:rPr>
          <w:rFonts w:hint="default" w:ascii="Times New Roman" w:hAnsi="Times New Roman" w:eastAsia="仿宋_GB2312" w:cs="Times New Roman"/>
          <w:kern w:val="0"/>
          <w:sz w:val="32"/>
          <w:szCs w:val="32"/>
          <w:highlight w:val="none"/>
          <w:lang w:eastAsia="zh-CN" w:bidi="ar"/>
        </w:rPr>
        <w:t>社会团体</w:t>
      </w:r>
      <w:r>
        <w:rPr>
          <w:rFonts w:hint="default" w:ascii="Times New Roman" w:hAnsi="Times New Roman" w:eastAsia="仿宋_GB2312" w:cs="Times New Roman"/>
          <w:kern w:val="0"/>
          <w:sz w:val="32"/>
          <w:szCs w:val="32"/>
          <w:highlight w:val="none"/>
          <w:lang w:bidi="ar"/>
        </w:rPr>
        <w:t>、会员</w:t>
      </w:r>
      <w:r>
        <w:rPr>
          <w:rFonts w:hint="default" w:ascii="Times New Roman" w:hAnsi="Times New Roman" w:eastAsia="仿宋_GB2312" w:cs="Times New Roman"/>
          <w:kern w:val="0"/>
          <w:sz w:val="32"/>
          <w:szCs w:val="32"/>
          <w:highlight w:val="none"/>
          <w:lang w:eastAsia="zh-CN" w:bidi="ar"/>
        </w:rPr>
        <w:t>和其他主体</w:t>
      </w:r>
      <w:r>
        <w:rPr>
          <w:rFonts w:hint="default" w:ascii="Times New Roman" w:hAnsi="Times New Roman" w:eastAsia="仿宋_GB2312" w:cs="Times New Roman"/>
          <w:kern w:val="0"/>
          <w:sz w:val="32"/>
          <w:szCs w:val="32"/>
          <w:highlight w:val="none"/>
          <w:lang w:bidi="ar"/>
        </w:rPr>
        <w:t>之间进行</w:t>
      </w:r>
      <w:r>
        <w:rPr>
          <w:rFonts w:hint="default" w:ascii="Times New Roman" w:hAnsi="Times New Roman" w:eastAsia="仿宋_GB2312" w:cs="Times New Roman"/>
          <w:kern w:val="0"/>
          <w:sz w:val="32"/>
          <w:szCs w:val="32"/>
          <w:highlight w:val="none"/>
          <w:lang w:eastAsia="zh-CN" w:bidi="ar"/>
        </w:rPr>
        <w:t>分配。任何单位和个人</w:t>
      </w:r>
      <w:r>
        <w:rPr>
          <w:rFonts w:hint="default" w:ascii="Times New Roman" w:hAnsi="Times New Roman" w:eastAsia="仿宋_GB2312" w:cs="Times New Roman"/>
          <w:kern w:val="0"/>
          <w:sz w:val="32"/>
          <w:szCs w:val="32"/>
          <w:highlight w:val="none"/>
          <w:lang w:bidi="ar"/>
        </w:rPr>
        <w:t>不得侵占、私分、挪用。</w:t>
      </w:r>
    </w:p>
    <w:p>
      <w:pPr>
        <w:numPr>
          <w:ilvl w:val="0"/>
          <w:numId w:val="1"/>
        </w:numPr>
        <w:wordWrap w:val="0"/>
        <w:overflowPunct w:val="0"/>
        <w:spacing w:line="594"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lang w:val="en-US" w:eastAsia="zh-CN"/>
        </w:rPr>
        <w:t>第十条和第十一条明确了团体标准化工作经费的管理要求，即要建立标准项目工作经费使用情况报告制度以及标准化工作经费年度报告公开制度。</w:t>
      </w:r>
    </w:p>
    <w:p>
      <w:pPr>
        <w:numPr>
          <w:ilvl w:val="0"/>
          <w:numId w:val="1"/>
        </w:numPr>
        <w:wordWrap w:val="0"/>
        <w:overflowPunct w:val="0"/>
        <w:spacing w:line="594"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lang w:val="en-US" w:eastAsia="zh-CN"/>
        </w:rPr>
        <w:t>第十二条明确了</w:t>
      </w:r>
      <w:r>
        <w:rPr>
          <w:rFonts w:hint="eastAsia" w:ascii="Times New Roman" w:hAnsi="Times New Roman" w:eastAsia="仿宋_GB2312"/>
          <w:sz w:val="32"/>
          <w:szCs w:val="32"/>
        </w:rPr>
        <w:t>关于</w:t>
      </w:r>
      <w:r>
        <w:rPr>
          <w:rFonts w:hint="eastAsia" w:ascii="Times New Roman" w:hAnsi="Times New Roman" w:eastAsia="仿宋_GB2312"/>
          <w:sz w:val="32"/>
          <w:szCs w:val="32"/>
          <w:lang w:val="en-US" w:eastAsia="zh-CN"/>
        </w:rPr>
        <w:t>利用团体标准乱收费行为</w:t>
      </w: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包括</w:t>
      </w:r>
      <w:r>
        <w:rPr>
          <w:rFonts w:ascii="Times New Roman" w:hAnsi="Times New Roman" w:eastAsia="仿宋_GB2312" w:cs="Times New Roman"/>
          <w:color w:val="auto"/>
          <w:kern w:val="0"/>
          <w:sz w:val="32"/>
          <w:szCs w:val="32"/>
          <w:highlight w:val="none"/>
          <w:lang w:bidi="ar"/>
        </w:rPr>
        <w:t>以</w:t>
      </w:r>
      <w:r>
        <w:rPr>
          <w:rFonts w:hint="eastAsia" w:ascii="Times New Roman" w:hAnsi="Times New Roman" w:eastAsia="仿宋_GB2312" w:cs="Times New Roman"/>
          <w:color w:val="auto"/>
          <w:kern w:val="0"/>
          <w:sz w:val="32"/>
          <w:szCs w:val="32"/>
          <w:highlight w:val="none"/>
          <w:lang w:val="en-US" w:eastAsia="zh-CN" w:bidi="ar"/>
        </w:rPr>
        <w:t>项目管理费、</w:t>
      </w:r>
      <w:r>
        <w:rPr>
          <w:rFonts w:ascii="Times New Roman" w:hAnsi="Times New Roman" w:eastAsia="仿宋_GB2312" w:cs="Times New Roman"/>
          <w:color w:val="auto"/>
          <w:kern w:val="0"/>
          <w:sz w:val="32"/>
          <w:szCs w:val="32"/>
          <w:highlight w:val="none"/>
          <w:lang w:bidi="ar"/>
        </w:rPr>
        <w:t>参编</w:t>
      </w:r>
      <w:r>
        <w:rPr>
          <w:rFonts w:hint="eastAsia" w:ascii="Times New Roman" w:hAnsi="Times New Roman" w:eastAsia="仿宋_GB2312" w:cs="Times New Roman"/>
          <w:color w:val="auto"/>
          <w:kern w:val="0"/>
          <w:sz w:val="32"/>
          <w:szCs w:val="32"/>
          <w:highlight w:val="none"/>
          <w:lang w:val="en-US" w:eastAsia="zh-CN" w:bidi="ar"/>
        </w:rPr>
        <w:t>费</w:t>
      </w:r>
      <w:r>
        <w:rPr>
          <w:rFonts w:ascii="Times New Roman" w:hAnsi="Times New Roman" w:eastAsia="仿宋_GB2312" w:cs="Times New Roman"/>
          <w:color w:val="auto"/>
          <w:kern w:val="0"/>
          <w:sz w:val="32"/>
          <w:szCs w:val="32"/>
          <w:highlight w:val="none"/>
          <w:lang w:bidi="ar"/>
        </w:rPr>
        <w:t>、署名</w:t>
      </w:r>
      <w:r>
        <w:rPr>
          <w:rFonts w:hint="eastAsia" w:ascii="Times New Roman" w:hAnsi="Times New Roman" w:eastAsia="仿宋_GB2312" w:cs="Times New Roman"/>
          <w:color w:val="auto"/>
          <w:kern w:val="0"/>
          <w:sz w:val="32"/>
          <w:szCs w:val="32"/>
          <w:highlight w:val="none"/>
          <w:lang w:val="en-US" w:eastAsia="zh-CN" w:bidi="ar"/>
        </w:rPr>
        <w:t>费</w:t>
      </w:r>
      <w:r>
        <w:rPr>
          <w:rFonts w:ascii="Times New Roman" w:hAnsi="Times New Roman" w:eastAsia="仿宋_GB2312" w:cs="Times New Roman"/>
          <w:color w:val="auto"/>
          <w:kern w:val="0"/>
          <w:sz w:val="32"/>
          <w:szCs w:val="32"/>
          <w:highlight w:val="none"/>
          <w:lang w:bidi="ar"/>
        </w:rPr>
        <w:t>、排名</w:t>
      </w:r>
      <w:r>
        <w:rPr>
          <w:rFonts w:hint="eastAsia" w:ascii="Times New Roman" w:hAnsi="Times New Roman" w:eastAsia="仿宋_GB2312" w:cs="Times New Roman"/>
          <w:color w:val="auto"/>
          <w:kern w:val="0"/>
          <w:sz w:val="32"/>
          <w:szCs w:val="32"/>
          <w:highlight w:val="none"/>
          <w:lang w:val="en-US" w:eastAsia="zh-CN" w:bidi="ar"/>
        </w:rPr>
        <w:t>费、咨询费、委托研究费</w:t>
      </w:r>
      <w:r>
        <w:rPr>
          <w:rFonts w:ascii="Times New Roman" w:hAnsi="Times New Roman" w:eastAsia="仿宋_GB2312" w:cs="Times New Roman"/>
          <w:color w:val="auto"/>
          <w:kern w:val="0"/>
          <w:sz w:val="32"/>
          <w:szCs w:val="32"/>
          <w:highlight w:val="none"/>
          <w:lang w:bidi="ar"/>
        </w:rPr>
        <w:t>等</w:t>
      </w:r>
      <w:r>
        <w:rPr>
          <w:rFonts w:hint="eastAsia" w:ascii="Times New Roman" w:hAnsi="Times New Roman" w:eastAsia="仿宋_GB2312" w:cs="Times New Roman"/>
          <w:color w:val="auto"/>
          <w:kern w:val="0"/>
          <w:sz w:val="32"/>
          <w:szCs w:val="32"/>
          <w:highlight w:val="none"/>
          <w:lang w:val="en-US" w:eastAsia="zh-CN" w:bidi="ar"/>
        </w:rPr>
        <w:t>名义收取与标准编制相关的费用</w:t>
      </w:r>
      <w:r>
        <w:rPr>
          <w:rFonts w:ascii="Times New Roman" w:hAnsi="Times New Roman" w:eastAsia="仿宋_GB2312" w:cs="Times New Roman"/>
          <w:color w:val="auto"/>
          <w:kern w:val="0"/>
          <w:sz w:val="32"/>
          <w:szCs w:val="32"/>
          <w:highlight w:val="none"/>
          <w:lang w:bidi="ar"/>
        </w:rPr>
        <w:t>，</w:t>
      </w:r>
      <w:r>
        <w:rPr>
          <w:rFonts w:hint="eastAsia" w:ascii="Times New Roman" w:hAnsi="Times New Roman" w:eastAsia="仿宋_GB2312" w:cs="Times New Roman"/>
          <w:color w:val="auto"/>
          <w:kern w:val="0"/>
          <w:sz w:val="32"/>
          <w:szCs w:val="32"/>
          <w:highlight w:val="none"/>
          <w:lang w:bidi="ar"/>
        </w:rPr>
        <w:t>以</w:t>
      </w:r>
      <w:r>
        <w:rPr>
          <w:rFonts w:hint="eastAsia" w:ascii="Times New Roman" w:hAnsi="Times New Roman" w:eastAsia="仿宋_GB2312" w:cs="Times New Roman"/>
          <w:color w:val="auto"/>
          <w:kern w:val="0"/>
          <w:sz w:val="32"/>
          <w:szCs w:val="32"/>
          <w:highlight w:val="none"/>
          <w:lang w:val="en-US" w:eastAsia="zh-CN" w:bidi="ar"/>
        </w:rPr>
        <w:t>给予标准号为名收取管理费</w:t>
      </w:r>
      <w:r>
        <w:rPr>
          <w:rFonts w:hint="eastAsia" w:ascii="Times New Roman" w:hAnsi="Times New Roman" w:eastAsia="仿宋_GB2312" w:cs="Times New Roman"/>
          <w:color w:val="auto"/>
          <w:kern w:val="0"/>
          <w:sz w:val="32"/>
          <w:szCs w:val="32"/>
          <w:highlight w:val="none"/>
          <w:lang w:eastAsia="zh-CN" w:bidi="ar"/>
        </w:rPr>
        <w:t>，</w:t>
      </w:r>
      <w:r>
        <w:rPr>
          <w:rFonts w:hint="eastAsia" w:ascii="Times New Roman" w:hAnsi="Times New Roman" w:eastAsia="仿宋_GB2312" w:cs="Times New Roman"/>
          <w:color w:val="auto"/>
          <w:kern w:val="0"/>
          <w:sz w:val="32"/>
          <w:szCs w:val="32"/>
          <w:highlight w:val="none"/>
          <w:lang w:val="en-US" w:eastAsia="zh-CN" w:bidi="ar"/>
        </w:rPr>
        <w:t>将团体标准化工作外包、委托或授意第三方向相关单位收取标准编制相关费用，与其他事项捆绑收费，通过其他方式转嫁团体标准编制费用，以及利用团体标准编制活动营利等。</w:t>
      </w:r>
    </w:p>
    <w:p>
      <w:pPr>
        <w:numPr>
          <w:ilvl w:val="0"/>
          <w:numId w:val="1"/>
        </w:numPr>
        <w:wordWrap w:val="0"/>
        <w:overflowPunct w:val="0"/>
        <w:spacing w:line="594"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lang w:val="en-US" w:eastAsia="zh-CN"/>
        </w:rPr>
        <w:t>第十三条明确了任何单位和个人可以向市场监管部门和民政部门反映团体标准组织在团体标准化工作中的违法违规行为。</w:t>
      </w:r>
    </w:p>
    <w:p>
      <w:pPr>
        <w:numPr>
          <w:ilvl w:val="0"/>
          <w:numId w:val="1"/>
        </w:numPr>
        <w:wordWrap w:val="0"/>
        <w:overflowPunct w:val="0"/>
        <w:spacing w:line="594"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lang w:val="en-US" w:eastAsia="zh-CN"/>
        </w:rPr>
        <w:t>第十四条明确了团体标准组织违反规定收取与团体有关费用的，由全国</w:t>
      </w:r>
      <w:bookmarkStart w:id="1" w:name="_GoBack"/>
      <w:bookmarkEnd w:id="1"/>
      <w:r>
        <w:rPr>
          <w:rFonts w:hint="eastAsia" w:ascii="Times New Roman" w:hAnsi="Times New Roman" w:eastAsia="仿宋_GB2312"/>
          <w:sz w:val="32"/>
          <w:szCs w:val="32"/>
          <w:lang w:val="en-US" w:eastAsia="zh-CN"/>
        </w:rPr>
        <w:t>团体标准信息平台停止其开展自我声明公开。</w:t>
      </w:r>
    </w:p>
    <w:p>
      <w:pPr>
        <w:numPr>
          <w:ilvl w:val="0"/>
          <w:numId w:val="1"/>
        </w:numPr>
        <w:wordWrap w:val="0"/>
        <w:overflowPunct w:val="0"/>
        <w:spacing w:line="594"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lang w:val="en-US" w:eastAsia="zh-CN"/>
        </w:rPr>
        <w:t>第十五条明确了团体标准组织违法违规收取经营服务性费用的，由市场监管部门依法依规处理。</w:t>
      </w:r>
    </w:p>
    <w:p>
      <w:pPr>
        <w:numPr>
          <w:ilvl w:val="0"/>
          <w:numId w:val="1"/>
        </w:numPr>
        <w:wordWrap w:val="0"/>
        <w:overflowPunct w:val="0"/>
        <w:spacing w:line="594"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lang w:val="en-US" w:eastAsia="zh-CN"/>
        </w:rPr>
        <w:t>第十六条明确了第三方单位利用团体标准乱收费，违反市场监管相关法律法规的，由市场监管部门依法查处。</w:t>
      </w:r>
    </w:p>
    <w:p>
      <w:pPr>
        <w:wordWrap w:val="0"/>
        <w:overflowPunct w:val="0"/>
        <w:autoSpaceDE w:val="0"/>
        <w:autoSpaceDN w:val="0"/>
        <w:spacing w:line="594" w:lineRule="exact"/>
        <w:ind w:firstLine="640" w:firstLineChars="200"/>
        <w:rPr>
          <w:rFonts w:hint="eastAsia" w:ascii="楷体_GB2312" w:hAnsi="楷体_GB2312" w:eastAsia="楷体_GB2312" w:cs="楷体_GB2312"/>
          <w:sz w:val="32"/>
          <w:szCs w:val="32"/>
        </w:rPr>
      </w:pPr>
      <w:r>
        <w:rPr>
          <w:rFonts w:hint="eastAsia" w:ascii="Times New Roman" w:hAnsi="Times New Roman" w:eastAsia="黑体"/>
          <w:sz w:val="32"/>
          <w:szCs w:val="32"/>
        </w:rPr>
        <w:t>四、有关说明</w:t>
      </w:r>
    </w:p>
    <w:p>
      <w:pPr>
        <w:wordWrap w:val="0"/>
        <w:overflowPunct w:val="0"/>
        <w:autoSpaceDE w:val="0"/>
        <w:autoSpaceDN w:val="0"/>
        <w:spacing w:line="594" w:lineRule="exact"/>
        <w:ind w:firstLine="640" w:firstLineChars="200"/>
        <w:rPr>
          <w:rFonts w:hint="eastAsia" w:ascii="Times New Roman" w:hAnsi="Times New Roman" w:eastAsia="仿宋_GB2312" w:cs="Times New Roman"/>
          <w:sz w:val="32"/>
          <w:szCs w:val="32"/>
          <w:lang w:val="en-US" w:eastAsia="zh-CN"/>
        </w:rPr>
      </w:pPr>
      <w:r>
        <w:rPr>
          <w:rFonts w:hint="eastAsia" w:ascii="楷体" w:hAnsi="楷体" w:eastAsia="楷体" w:cs="楷体"/>
          <w:sz w:val="32"/>
          <w:szCs w:val="32"/>
          <w:lang w:val="en-US" w:eastAsia="zh-CN"/>
        </w:rPr>
        <w:t>（一）关于法律法规依据。</w:t>
      </w:r>
      <w:r>
        <w:rPr>
          <w:rFonts w:hint="eastAsia" w:ascii="Times New Roman" w:hAnsi="Times New Roman" w:eastAsia="仿宋_GB2312" w:cs="Times New Roman"/>
          <w:sz w:val="32"/>
          <w:szCs w:val="32"/>
          <w:lang w:val="en-US" w:eastAsia="zh-CN"/>
        </w:rPr>
        <w:t>《指南（征求意见稿）》的制定充分依据《中华人民共和国标准化法》《社会团体登记管理条例》《团体标准管理规定》以及《行业协会商会收费行为合规指南》等法律法规、政策文件的有关规定，结合社会团体开展团体标准化工作实践进一步细化，指导社会团体建立团体标准经费管理制度、正确使用团体标准工作经费，同时明确了利用团体标准乱收费的行为。</w:t>
      </w:r>
      <w:r>
        <w:rPr>
          <w:rFonts w:hint="eastAsia" w:ascii="Times New Roman" w:hAnsi="Times New Roman" w:eastAsia="仿宋_GB2312"/>
          <w:sz w:val="32"/>
          <w:szCs w:val="32"/>
        </w:rPr>
        <w:t>其中，重点条款</w:t>
      </w:r>
      <w:r>
        <w:rPr>
          <w:rFonts w:hint="eastAsia" w:ascii="Times New Roman" w:hAnsi="Times New Roman" w:eastAsia="仿宋_GB2312"/>
          <w:sz w:val="32"/>
          <w:szCs w:val="32"/>
          <w:lang w:val="en-US" w:eastAsia="zh-CN"/>
        </w:rPr>
        <w:t>如</w:t>
      </w:r>
      <w:r>
        <w:rPr>
          <w:rFonts w:hint="eastAsia" w:ascii="Times New Roman" w:hAnsi="Times New Roman" w:eastAsia="仿宋_GB2312" w:cs="Times New Roman"/>
          <w:kern w:val="0"/>
          <w:sz w:val="32"/>
          <w:szCs w:val="32"/>
          <w:highlight w:val="none"/>
          <w:lang w:val="en-US" w:eastAsia="zh-CN" w:bidi="ar"/>
        </w:rPr>
        <w:t>团体标准制修订费用应由团体标准组织承担</w:t>
      </w:r>
      <w:r>
        <w:rPr>
          <w:rFonts w:hint="eastAsia" w:ascii="Times New Roman" w:hAnsi="Times New Roman" w:eastAsia="仿宋_GB2312" w:cs="Times New Roman"/>
          <w:kern w:val="0"/>
          <w:sz w:val="32"/>
          <w:szCs w:val="32"/>
          <w:highlight w:val="none"/>
          <w:lang w:eastAsia="zh-CN" w:bidi="ar"/>
        </w:rPr>
        <w:t>，</w:t>
      </w:r>
      <w:r>
        <w:rPr>
          <w:rFonts w:hint="eastAsia" w:ascii="Times New Roman" w:hAnsi="Times New Roman" w:eastAsia="仿宋_GB2312" w:cs="Times New Roman"/>
          <w:kern w:val="0"/>
          <w:sz w:val="32"/>
          <w:szCs w:val="32"/>
          <w:highlight w:val="none"/>
          <w:lang w:val="en-US" w:eastAsia="zh-CN" w:bidi="ar"/>
        </w:rPr>
        <w:t>依据《</w:t>
      </w:r>
      <w:r>
        <w:rPr>
          <w:rFonts w:hint="eastAsia" w:ascii="Times New Roman" w:hAnsi="Times New Roman" w:eastAsia="仿宋_GB2312" w:cs="Times New Roman"/>
          <w:sz w:val="32"/>
          <w:szCs w:val="32"/>
          <w:lang w:val="en-US" w:eastAsia="zh-CN"/>
        </w:rPr>
        <w:t>行业协会商会收费行为合规指南</w:t>
      </w:r>
      <w:r>
        <w:rPr>
          <w:rFonts w:hint="eastAsia" w:ascii="Times New Roman" w:hAnsi="Times New Roman" w:eastAsia="仿宋_GB2312" w:cs="Times New Roman"/>
          <w:kern w:val="0"/>
          <w:sz w:val="32"/>
          <w:szCs w:val="32"/>
          <w:highlight w:val="none"/>
          <w:lang w:val="en-US" w:eastAsia="zh-CN" w:bidi="ar"/>
        </w:rPr>
        <w:t>》第四十二条要求制定。</w:t>
      </w:r>
    </w:p>
    <w:p>
      <w:pPr>
        <w:wordWrap w:val="0"/>
        <w:overflowPunct w:val="0"/>
        <w:autoSpaceDE w:val="0"/>
        <w:autoSpaceDN w:val="0"/>
        <w:spacing w:line="594" w:lineRule="exact"/>
        <w:ind w:firstLine="640" w:firstLineChars="200"/>
        <w:rPr>
          <w:rFonts w:hint="eastAsia" w:ascii="Times New Roman" w:hAnsi="Times New Roman" w:eastAsia="仿宋_GB2312" w:cs="Times New Roman"/>
          <w:color w:val="auto"/>
          <w:kern w:val="0"/>
          <w:sz w:val="32"/>
          <w:szCs w:val="32"/>
          <w:highlight w:val="none"/>
          <w:lang w:val="en-US" w:eastAsia="zh-CN" w:bidi="ar"/>
        </w:rPr>
      </w:pPr>
      <w:r>
        <w:rPr>
          <w:rFonts w:hint="eastAsia" w:ascii="楷体" w:hAnsi="楷体" w:eastAsia="楷体" w:cs="楷体"/>
          <w:sz w:val="32"/>
          <w:szCs w:val="32"/>
          <w:lang w:val="en-US" w:eastAsia="zh-CN"/>
        </w:rPr>
        <w:t>（二）关于经费来源。</w:t>
      </w:r>
      <w:r>
        <w:rPr>
          <w:rFonts w:hint="eastAsia" w:ascii="Times New Roman" w:hAnsi="Times New Roman" w:eastAsia="仿宋_GB2312" w:cs="Times New Roman"/>
          <w:sz w:val="32"/>
          <w:szCs w:val="32"/>
          <w:lang w:val="en-US" w:eastAsia="zh-CN"/>
        </w:rPr>
        <w:t>根据</w:t>
      </w:r>
      <w:r>
        <w:rPr>
          <w:rFonts w:hint="eastAsia" w:ascii="Times New Roman" w:hAnsi="Times New Roman" w:eastAsia="仿宋_GB2312" w:cs="Times New Roman"/>
          <w:kern w:val="0"/>
          <w:sz w:val="32"/>
          <w:szCs w:val="32"/>
          <w:highlight w:val="none"/>
          <w:lang w:val="en-US" w:eastAsia="zh-CN" w:bidi="ar"/>
        </w:rPr>
        <w:t>《</w:t>
      </w:r>
      <w:r>
        <w:rPr>
          <w:rFonts w:hint="eastAsia" w:ascii="Times New Roman" w:hAnsi="Times New Roman" w:eastAsia="仿宋_GB2312" w:cs="Times New Roman"/>
          <w:sz w:val="32"/>
          <w:szCs w:val="32"/>
          <w:lang w:val="en-US" w:eastAsia="zh-CN"/>
        </w:rPr>
        <w:t>行业协会商会收费行为合规指南</w:t>
      </w:r>
      <w:r>
        <w:rPr>
          <w:rFonts w:hint="eastAsia" w:ascii="Times New Roman" w:hAnsi="Times New Roman" w:eastAsia="仿宋_GB2312" w:cs="Times New Roman"/>
          <w:kern w:val="0"/>
          <w:sz w:val="32"/>
          <w:szCs w:val="32"/>
          <w:highlight w:val="none"/>
          <w:lang w:val="en-US" w:eastAsia="zh-CN" w:bidi="ar"/>
        </w:rPr>
        <w:t>》和《社会团体登记管理条例》的有关规定，团体标准制修订费用</w:t>
      </w:r>
      <w:r>
        <w:rPr>
          <w:rFonts w:hint="eastAsia" w:ascii="Times New Roman" w:hAnsi="Times New Roman" w:eastAsia="仿宋_GB2312" w:cs="Times New Roman"/>
          <w:sz w:val="32"/>
          <w:szCs w:val="32"/>
          <w:lang w:val="en-US" w:eastAsia="zh-CN"/>
        </w:rPr>
        <w:t>来源可以是会费、经营服务性收入、接受捐赠和资助等。《指南（征求意见稿）》中明确经营服务性收入包括标准的宣贯培训、组织实施和授权应用等，捐赠和资助需</w:t>
      </w:r>
      <w:r>
        <w:rPr>
          <w:rFonts w:hint="eastAsia" w:ascii="Times New Roman" w:hAnsi="Times New Roman" w:eastAsia="仿宋_GB2312" w:cs="Times New Roman"/>
          <w:color w:val="auto"/>
          <w:kern w:val="0"/>
          <w:sz w:val="32"/>
          <w:szCs w:val="32"/>
          <w:highlight w:val="none"/>
          <w:lang w:eastAsia="zh-CN" w:bidi="ar"/>
        </w:rPr>
        <w:t>与捐赠、</w:t>
      </w:r>
      <w:r>
        <w:rPr>
          <w:rFonts w:hint="eastAsia" w:ascii="Times New Roman" w:hAnsi="Times New Roman" w:eastAsia="仿宋_GB2312" w:cs="Times New Roman"/>
          <w:color w:val="auto"/>
          <w:kern w:val="0"/>
          <w:sz w:val="32"/>
          <w:szCs w:val="32"/>
          <w:highlight w:val="none"/>
          <w:lang w:val="en-US" w:eastAsia="zh-CN" w:bidi="ar"/>
        </w:rPr>
        <w:t>资助</w:t>
      </w:r>
      <w:r>
        <w:rPr>
          <w:rFonts w:hint="eastAsia" w:ascii="Times New Roman" w:hAnsi="Times New Roman" w:eastAsia="仿宋_GB2312" w:cs="Times New Roman"/>
          <w:color w:val="auto"/>
          <w:kern w:val="0"/>
          <w:sz w:val="32"/>
          <w:szCs w:val="32"/>
          <w:highlight w:val="none"/>
          <w:lang w:eastAsia="zh-CN" w:bidi="ar"/>
        </w:rPr>
        <w:t>方</w:t>
      </w:r>
      <w:r>
        <w:rPr>
          <w:rFonts w:hint="eastAsia" w:ascii="Times New Roman" w:hAnsi="Times New Roman" w:eastAsia="仿宋_GB2312" w:cs="Times New Roman"/>
          <w:color w:val="auto"/>
          <w:kern w:val="0"/>
          <w:sz w:val="32"/>
          <w:szCs w:val="32"/>
          <w:highlight w:val="none"/>
          <w:lang w:bidi="ar"/>
        </w:rPr>
        <w:t>签订书面协议，明确双方</w:t>
      </w:r>
      <w:r>
        <w:rPr>
          <w:rFonts w:hint="eastAsia" w:ascii="Times New Roman" w:hAnsi="Times New Roman" w:eastAsia="仿宋_GB2312" w:cs="Times New Roman"/>
          <w:color w:val="auto"/>
          <w:kern w:val="0"/>
          <w:sz w:val="32"/>
          <w:szCs w:val="32"/>
          <w:highlight w:val="none"/>
          <w:lang w:eastAsia="zh-CN" w:bidi="ar"/>
        </w:rPr>
        <w:t>权利</w:t>
      </w:r>
      <w:r>
        <w:rPr>
          <w:rFonts w:hint="eastAsia" w:ascii="Times New Roman" w:hAnsi="Times New Roman" w:eastAsia="仿宋_GB2312" w:cs="Times New Roman"/>
          <w:color w:val="auto"/>
          <w:kern w:val="0"/>
          <w:sz w:val="32"/>
          <w:szCs w:val="32"/>
          <w:highlight w:val="none"/>
          <w:lang w:bidi="ar"/>
        </w:rPr>
        <w:t>义务、</w:t>
      </w:r>
      <w:r>
        <w:rPr>
          <w:rFonts w:hint="eastAsia" w:ascii="Times New Roman" w:hAnsi="Times New Roman" w:eastAsia="仿宋_GB2312" w:cs="Times New Roman"/>
          <w:color w:val="auto"/>
          <w:kern w:val="0"/>
          <w:sz w:val="32"/>
          <w:szCs w:val="32"/>
          <w:highlight w:val="none"/>
          <w:lang w:eastAsia="zh-CN" w:bidi="ar"/>
        </w:rPr>
        <w:t>资金用途</w:t>
      </w:r>
      <w:r>
        <w:rPr>
          <w:rFonts w:hint="eastAsia" w:ascii="Times New Roman" w:hAnsi="Times New Roman" w:eastAsia="仿宋_GB2312" w:cs="Times New Roman"/>
          <w:color w:val="auto"/>
          <w:kern w:val="0"/>
          <w:sz w:val="32"/>
          <w:szCs w:val="32"/>
          <w:highlight w:val="none"/>
          <w:lang w:bidi="ar"/>
        </w:rPr>
        <w:t>及</w:t>
      </w:r>
      <w:r>
        <w:rPr>
          <w:rFonts w:hint="eastAsia" w:ascii="Times New Roman" w:hAnsi="Times New Roman" w:eastAsia="仿宋_GB2312" w:cs="Times New Roman"/>
          <w:color w:val="auto"/>
          <w:kern w:val="0"/>
          <w:sz w:val="32"/>
          <w:szCs w:val="32"/>
          <w:highlight w:val="none"/>
          <w:lang w:val="en-US" w:eastAsia="zh-CN" w:bidi="ar"/>
        </w:rPr>
        <w:t>使用情况</w:t>
      </w:r>
      <w:r>
        <w:rPr>
          <w:rFonts w:hint="eastAsia" w:ascii="Times New Roman" w:hAnsi="Times New Roman" w:eastAsia="仿宋_GB2312" w:cs="Times New Roman"/>
          <w:color w:val="auto"/>
          <w:kern w:val="0"/>
          <w:sz w:val="32"/>
          <w:szCs w:val="32"/>
          <w:highlight w:val="none"/>
          <w:lang w:bidi="ar"/>
        </w:rPr>
        <w:t>告知方式等</w:t>
      </w:r>
      <w:r>
        <w:rPr>
          <w:rFonts w:hint="eastAsia" w:ascii="Times New Roman" w:hAnsi="Times New Roman" w:eastAsia="仿宋_GB2312" w:cs="Times New Roman"/>
          <w:color w:val="auto"/>
          <w:kern w:val="0"/>
          <w:sz w:val="32"/>
          <w:szCs w:val="32"/>
          <w:highlight w:val="none"/>
          <w:lang w:val="en-US" w:eastAsia="zh-CN" w:bidi="ar"/>
        </w:rPr>
        <w:t>。</w:t>
      </w:r>
    </w:p>
    <w:p>
      <w:pPr>
        <w:wordWrap w:val="0"/>
        <w:overflowPunct w:val="0"/>
        <w:autoSpaceDE w:val="0"/>
        <w:autoSpaceDN w:val="0"/>
        <w:spacing w:line="594" w:lineRule="exact"/>
        <w:ind w:firstLine="640" w:firstLineChars="200"/>
        <w:rPr>
          <w:rFonts w:ascii="Times New Roman" w:hAnsi="Times New Roman" w:eastAsia="仿宋_GB2312"/>
          <w:sz w:val="32"/>
          <w:szCs w:val="32"/>
        </w:rPr>
      </w:pPr>
      <w:r>
        <w:rPr>
          <w:rFonts w:hint="eastAsia" w:ascii="楷体" w:hAnsi="楷体" w:eastAsia="楷体" w:cs="楷体"/>
          <w:sz w:val="32"/>
          <w:szCs w:val="32"/>
          <w:lang w:val="en-US" w:eastAsia="zh-CN"/>
        </w:rPr>
        <w:t>（三）关于利用团体标准乱收费行为。</w:t>
      </w:r>
      <w:r>
        <w:rPr>
          <w:rFonts w:hint="eastAsia" w:ascii="Times New Roman" w:hAnsi="Times New Roman" w:eastAsia="仿宋_GB2312" w:cs="Times New Roman"/>
          <w:sz w:val="32"/>
          <w:szCs w:val="32"/>
          <w:lang w:val="en-US" w:eastAsia="zh-CN"/>
        </w:rPr>
        <w:t>根据《行业协会商会收费行为合规指南》第四十二条有关要求，结合团体标准化工作实践中的实际情况和案例，在《指南（征求意见稿）》中明确了利用团体标准乱收费的行为，包括：</w:t>
      </w:r>
      <w:r>
        <w:rPr>
          <w:rFonts w:hint="default" w:ascii="Times New Roman" w:hAnsi="Times New Roman" w:eastAsia="仿宋_GB2312" w:cs="Times New Roman"/>
          <w:kern w:val="0"/>
          <w:sz w:val="32"/>
          <w:szCs w:val="32"/>
          <w:highlight w:val="none"/>
          <w:lang w:val="en-US" w:eastAsia="zh-CN" w:bidi="ar"/>
        </w:rPr>
        <w:t>以项目管理费、参编费、署名费、排名费</w:t>
      </w:r>
      <w:r>
        <w:rPr>
          <w:rFonts w:hint="eastAsia" w:ascii="Times New Roman" w:hAnsi="Times New Roman" w:eastAsia="仿宋_GB2312" w:cs="Times New Roman"/>
          <w:kern w:val="0"/>
          <w:sz w:val="32"/>
          <w:szCs w:val="32"/>
          <w:highlight w:val="none"/>
          <w:lang w:val="en-US" w:eastAsia="zh-CN" w:bidi="ar"/>
        </w:rPr>
        <w:t>、咨询费、委托研究费</w:t>
      </w:r>
      <w:r>
        <w:rPr>
          <w:rFonts w:hint="default" w:ascii="Times New Roman" w:hAnsi="Times New Roman" w:eastAsia="仿宋_GB2312" w:cs="Times New Roman"/>
          <w:kern w:val="0"/>
          <w:sz w:val="32"/>
          <w:szCs w:val="32"/>
          <w:highlight w:val="none"/>
          <w:lang w:val="en-US" w:eastAsia="zh-CN" w:bidi="ar"/>
        </w:rPr>
        <w:t>等名义收取与标准编制有关的费用，以给予标准号为名收取管理费；</w:t>
      </w:r>
      <w:r>
        <w:rPr>
          <w:rFonts w:hint="eastAsia" w:ascii="Times New Roman" w:hAnsi="Times New Roman" w:eastAsia="仿宋_GB2312" w:cs="Times New Roman"/>
          <w:kern w:val="0"/>
          <w:sz w:val="32"/>
          <w:szCs w:val="32"/>
          <w:highlight w:val="none"/>
          <w:lang w:val="en-US" w:eastAsia="zh-CN" w:bidi="ar"/>
        </w:rPr>
        <w:t>将团体标准编制工作外包或委托任何其他组织或个人开展，</w:t>
      </w:r>
      <w:r>
        <w:rPr>
          <w:rFonts w:hint="default" w:ascii="Times New Roman" w:hAnsi="Times New Roman" w:eastAsia="仿宋_GB2312" w:cs="Times New Roman"/>
          <w:kern w:val="0"/>
          <w:sz w:val="32"/>
          <w:szCs w:val="32"/>
          <w:highlight w:val="none"/>
          <w:lang w:val="en-US" w:eastAsia="zh-CN" w:bidi="ar"/>
        </w:rPr>
        <w:t>委托第三方或授意</w:t>
      </w:r>
      <w:r>
        <w:rPr>
          <w:rFonts w:hint="eastAsia" w:ascii="Times New Roman" w:hAnsi="Times New Roman" w:eastAsia="仿宋_GB2312" w:cs="Times New Roman"/>
          <w:kern w:val="0"/>
          <w:sz w:val="32"/>
          <w:szCs w:val="32"/>
          <w:highlight w:val="none"/>
          <w:lang w:val="en-US" w:eastAsia="zh-CN" w:bidi="ar"/>
        </w:rPr>
        <w:t>有关</w:t>
      </w:r>
      <w:r>
        <w:rPr>
          <w:rFonts w:hint="default" w:ascii="Times New Roman" w:hAnsi="Times New Roman" w:eastAsia="仿宋_GB2312" w:cs="Times New Roman"/>
          <w:kern w:val="0"/>
          <w:sz w:val="32"/>
          <w:szCs w:val="32"/>
          <w:highlight w:val="none"/>
          <w:lang w:val="en-US" w:eastAsia="zh-CN" w:bidi="ar"/>
        </w:rPr>
        <w:t>单位向参编单位</w:t>
      </w:r>
      <w:r>
        <w:rPr>
          <w:rFonts w:hint="eastAsia" w:ascii="Times New Roman" w:hAnsi="Times New Roman" w:eastAsia="仿宋_GB2312" w:cs="Times New Roman"/>
          <w:kern w:val="0"/>
          <w:sz w:val="32"/>
          <w:szCs w:val="32"/>
          <w:highlight w:val="none"/>
          <w:lang w:val="en-US" w:eastAsia="zh-CN" w:bidi="ar"/>
        </w:rPr>
        <w:t>以</w:t>
      </w:r>
      <w:r>
        <w:rPr>
          <w:rFonts w:hint="default" w:ascii="Times New Roman" w:hAnsi="Times New Roman" w:eastAsia="仿宋_GB2312" w:cs="Times New Roman"/>
          <w:kern w:val="0"/>
          <w:sz w:val="32"/>
          <w:szCs w:val="32"/>
          <w:highlight w:val="none"/>
          <w:lang w:val="en-US" w:eastAsia="zh-CN" w:bidi="ar"/>
        </w:rPr>
        <w:t>咨询费</w:t>
      </w:r>
      <w:r>
        <w:rPr>
          <w:rFonts w:hint="eastAsia" w:ascii="Times New Roman" w:hAnsi="Times New Roman" w:eastAsia="仿宋_GB2312" w:cs="Times New Roman"/>
          <w:kern w:val="0"/>
          <w:sz w:val="32"/>
          <w:szCs w:val="32"/>
          <w:highlight w:val="none"/>
          <w:lang w:val="en-US" w:eastAsia="zh-CN" w:bidi="ar"/>
        </w:rPr>
        <w:t>、</w:t>
      </w:r>
      <w:r>
        <w:rPr>
          <w:rFonts w:hint="default" w:ascii="Times New Roman" w:hAnsi="Times New Roman" w:eastAsia="仿宋_GB2312" w:cs="Times New Roman"/>
          <w:kern w:val="0"/>
          <w:sz w:val="32"/>
          <w:szCs w:val="32"/>
          <w:highlight w:val="none"/>
          <w:lang w:val="en-US" w:eastAsia="zh-CN" w:bidi="ar"/>
        </w:rPr>
        <w:t>委托研究费等</w:t>
      </w:r>
      <w:r>
        <w:rPr>
          <w:rFonts w:hint="eastAsia" w:ascii="Times New Roman" w:hAnsi="Times New Roman" w:eastAsia="仿宋_GB2312" w:cs="Times New Roman"/>
          <w:kern w:val="0"/>
          <w:sz w:val="32"/>
          <w:szCs w:val="32"/>
          <w:highlight w:val="none"/>
          <w:lang w:val="en-US" w:eastAsia="zh-CN" w:bidi="ar"/>
        </w:rPr>
        <w:t>名义收取标准编制相关费用</w:t>
      </w:r>
      <w:r>
        <w:rPr>
          <w:rFonts w:hint="default" w:ascii="Times New Roman" w:hAnsi="Times New Roman" w:eastAsia="仿宋_GB2312" w:cs="Times New Roman"/>
          <w:kern w:val="0"/>
          <w:sz w:val="32"/>
          <w:szCs w:val="32"/>
          <w:highlight w:val="none"/>
          <w:lang w:val="en-US" w:eastAsia="zh-CN" w:bidi="ar"/>
        </w:rPr>
        <w:t>；将团体标准</w:t>
      </w:r>
      <w:r>
        <w:rPr>
          <w:rFonts w:hint="eastAsia" w:ascii="Times New Roman" w:hAnsi="Times New Roman" w:eastAsia="仿宋_GB2312" w:cs="Times New Roman"/>
          <w:kern w:val="0"/>
          <w:sz w:val="32"/>
          <w:szCs w:val="32"/>
          <w:highlight w:val="none"/>
          <w:lang w:val="en-US" w:eastAsia="zh-CN" w:bidi="ar"/>
        </w:rPr>
        <w:t>编制</w:t>
      </w:r>
      <w:r>
        <w:rPr>
          <w:rFonts w:hint="default" w:ascii="Times New Roman" w:hAnsi="Times New Roman" w:eastAsia="仿宋_GB2312" w:cs="Times New Roman"/>
          <w:kern w:val="0"/>
          <w:sz w:val="32"/>
          <w:szCs w:val="32"/>
          <w:highlight w:val="none"/>
          <w:lang w:val="en-US" w:eastAsia="zh-CN" w:bidi="ar"/>
        </w:rPr>
        <w:t>工作与入会、评比达标表彰、资格认定等事项捆绑收费等</w:t>
      </w:r>
      <w:r>
        <w:rPr>
          <w:rFonts w:hint="eastAsia" w:ascii="Times New Roman" w:hAnsi="Times New Roman" w:eastAsia="仿宋_GB2312" w:cs="Times New Roman"/>
          <w:kern w:val="0"/>
          <w:sz w:val="32"/>
          <w:szCs w:val="32"/>
          <w:highlight w:val="none"/>
          <w:lang w:val="en-US" w:eastAsia="zh-CN" w:bidi="ar"/>
        </w:rPr>
        <w:t>；通过其他方式转嫁团体标准编制成本费用；</w:t>
      </w:r>
      <w:r>
        <w:rPr>
          <w:rFonts w:hint="default" w:ascii="Times New Roman" w:hAnsi="Times New Roman" w:eastAsia="仿宋_GB2312" w:cs="Times New Roman"/>
          <w:kern w:val="0"/>
          <w:sz w:val="32"/>
          <w:szCs w:val="32"/>
          <w:highlight w:val="none"/>
          <w:lang w:bidi="ar"/>
        </w:rPr>
        <w:t>利用团体标准编制活动</w:t>
      </w:r>
      <w:r>
        <w:rPr>
          <w:rFonts w:hint="default" w:ascii="Times New Roman" w:hAnsi="Times New Roman" w:eastAsia="仿宋_GB2312" w:cs="Times New Roman"/>
          <w:kern w:val="0"/>
          <w:sz w:val="32"/>
          <w:szCs w:val="32"/>
          <w:highlight w:val="none"/>
          <w:lang w:val="en-US" w:eastAsia="zh-CN" w:bidi="ar"/>
        </w:rPr>
        <w:t>营</w:t>
      </w:r>
      <w:r>
        <w:rPr>
          <w:rFonts w:hint="default" w:ascii="Times New Roman" w:hAnsi="Times New Roman" w:eastAsia="仿宋_GB2312" w:cs="Times New Roman"/>
          <w:kern w:val="0"/>
          <w:sz w:val="32"/>
          <w:szCs w:val="32"/>
          <w:highlight w:val="none"/>
          <w:lang w:bidi="ar"/>
        </w:rPr>
        <w:t>利</w:t>
      </w:r>
      <w:r>
        <w:rPr>
          <w:rFonts w:hint="eastAsia" w:ascii="Times New Roman" w:hAnsi="Times New Roman" w:eastAsia="仿宋_GB2312" w:cs="Times New Roman"/>
          <w:kern w:val="0"/>
          <w:sz w:val="32"/>
          <w:szCs w:val="32"/>
          <w:highlight w:val="none"/>
          <w:lang w:val="en-US" w:eastAsia="zh-CN" w:bidi="ar"/>
        </w:rPr>
        <w:t>等</w:t>
      </w:r>
      <w:r>
        <w:rPr>
          <w:rFonts w:hint="eastAsia" w:ascii="Times New Roman" w:hAnsi="Times New Roman" w:eastAsia="仿宋_GB2312" w:cs="Times New Roman"/>
          <w:strike w:val="0"/>
          <w:dstrike w:val="0"/>
          <w:color w:val="auto"/>
          <w:kern w:val="0"/>
          <w:sz w:val="32"/>
          <w:szCs w:val="32"/>
          <w:highlight w:val="none"/>
          <w:lang w:val="en-US" w:eastAsia="zh-CN" w:bidi="ar"/>
        </w:rPr>
        <w:t>。</w:t>
      </w:r>
    </w:p>
    <w:sectPr>
      <w:footerReference r:id="rId3" w:type="default"/>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altName w:val="方正书宋_GBK"/>
    <w:panose1 w:val="02010600030101010101"/>
    <w:charset w:val="7A"/>
    <w:family w:val="auto"/>
    <w:pitch w:val="default"/>
    <w:sig w:usb0="00000000" w:usb1="0000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等线">
    <w:altName w:val="汉仪中宋简"/>
    <w:panose1 w:val="02010600030101010101"/>
    <w:charset w:val="86"/>
    <w:family w:val="auto"/>
    <w:pitch w:val="default"/>
    <w:sig w:usb0="00000000" w:usb1="00000000" w:usb2="00000016" w:usb3="00000000" w:csb0="0004000F" w:csb1="00000000"/>
  </w:font>
  <w:font w:name="仿宋_GB2312">
    <w:panose1 w:val="02010609030101010101"/>
    <w:charset w:val="86"/>
    <w:family w:val="auto"/>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
    <w:panose1 w:val="02010609060101010101"/>
    <w:charset w:val="86"/>
    <w:family w:val="auto"/>
    <w:pitch w:val="default"/>
    <w:sig w:usb0="800002BF" w:usb1="38CF7CFA"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汉仪中宋简">
    <w:panose1 w:val="02010600000101010101"/>
    <w:charset w:val="86"/>
    <w:family w:val="auto"/>
    <w:pitch w:val="default"/>
    <w:sig w:usb0="00000001" w:usb1="080E0800" w:usb2="00000002"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center"/>
      <w:rPr>
        <w:rFonts w:hint="eastAsia" w:ascii="宋体" w:hAnsi="宋体" w:eastAsia="宋体"/>
        <w:sz w:val="28"/>
        <w:szCs w:val="28"/>
      </w:rPr>
    </w:pPr>
    <w:r>
      <w:rPr>
        <w:rFonts w:ascii="宋体" w:hAnsi="宋体" w:eastAsia="宋体"/>
        <w:sz w:val="28"/>
        <w:szCs w:val="28"/>
      </w:rPr>
      <w:fldChar w:fldCharType="begin"/>
    </w:r>
    <w:r>
      <w:rPr>
        <w:rFonts w:ascii="宋体" w:hAnsi="宋体" w:eastAsia="宋体"/>
        <w:sz w:val="28"/>
        <w:szCs w:val="28"/>
      </w:rPr>
      <w:instrText xml:space="preserve">PAGE   \* MERGEFORMAT</w:instrText>
    </w:r>
    <w:r>
      <w:rPr>
        <w:rFonts w:ascii="宋体" w:hAnsi="宋体" w:eastAsia="宋体"/>
        <w:sz w:val="28"/>
        <w:szCs w:val="28"/>
      </w:rPr>
      <w:fldChar w:fldCharType="separate"/>
    </w:r>
    <w:r>
      <w:rPr>
        <w:rFonts w:ascii="宋体" w:hAnsi="宋体" w:eastAsia="宋体"/>
        <w:sz w:val="28"/>
        <w:szCs w:val="28"/>
        <w:lang w:val="zh-CN"/>
      </w:rPr>
      <w:t>-</w:t>
    </w:r>
    <w:r>
      <w:rPr>
        <w:rFonts w:ascii="宋体" w:hAnsi="宋体" w:eastAsia="宋体"/>
        <w:sz w:val="28"/>
        <w:szCs w:val="28"/>
      </w:rPr>
      <w:t xml:space="preserve"> 1 -</w:t>
    </w:r>
    <w:r>
      <w:rPr>
        <w:rFonts w:ascii="宋体" w:hAnsi="宋体" w:eastAsia="宋体"/>
        <w:sz w:val="28"/>
        <w:szCs w:val="28"/>
      </w:rP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B7DDAC8"/>
    <w:multiLevelType w:val="singleLevel"/>
    <w:tmpl w:val="FB7DDAC8"/>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true"/>
  <w:bordersDoNotSurroundFooter w:val="true"/>
  <w:documentProtection w:enforcement="0"/>
  <w:defaultTabStop w:val="420"/>
  <w:hyphenationZone w:val="36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OGY0NmI0YmU0OGE0Y2FmYjBlMjE0ZDBmYzU2NWQ5NWIifQ=="/>
  </w:docVars>
  <w:rsids>
    <w:rsidRoot w:val="00172A27"/>
    <w:rsid w:val="00005A03"/>
    <w:rsid w:val="00014D27"/>
    <w:rsid w:val="000220E9"/>
    <w:rsid w:val="00025610"/>
    <w:rsid w:val="00031588"/>
    <w:rsid w:val="000408D1"/>
    <w:rsid w:val="000421E3"/>
    <w:rsid w:val="00042520"/>
    <w:rsid w:val="00042C43"/>
    <w:rsid w:val="0005092C"/>
    <w:rsid w:val="000674B0"/>
    <w:rsid w:val="000734AA"/>
    <w:rsid w:val="0008112F"/>
    <w:rsid w:val="00081F80"/>
    <w:rsid w:val="00095A7E"/>
    <w:rsid w:val="000B13F8"/>
    <w:rsid w:val="000C1107"/>
    <w:rsid w:val="000C5721"/>
    <w:rsid w:val="000D4B20"/>
    <w:rsid w:val="000E3A6C"/>
    <w:rsid w:val="0011698A"/>
    <w:rsid w:val="0012155F"/>
    <w:rsid w:val="001361BF"/>
    <w:rsid w:val="001415DD"/>
    <w:rsid w:val="00144ADA"/>
    <w:rsid w:val="001531CF"/>
    <w:rsid w:val="00155D77"/>
    <w:rsid w:val="001562AD"/>
    <w:rsid w:val="00160BB2"/>
    <w:rsid w:val="00160F0E"/>
    <w:rsid w:val="00162DAF"/>
    <w:rsid w:val="00163C9B"/>
    <w:rsid w:val="00172A27"/>
    <w:rsid w:val="001759C5"/>
    <w:rsid w:val="00184423"/>
    <w:rsid w:val="00185640"/>
    <w:rsid w:val="00195396"/>
    <w:rsid w:val="001A49F9"/>
    <w:rsid w:val="001A7BA3"/>
    <w:rsid w:val="001B16AB"/>
    <w:rsid w:val="001B51B5"/>
    <w:rsid w:val="001C711E"/>
    <w:rsid w:val="001D14E9"/>
    <w:rsid w:val="001D46BF"/>
    <w:rsid w:val="001D5A4D"/>
    <w:rsid w:val="001E3A45"/>
    <w:rsid w:val="00200BC6"/>
    <w:rsid w:val="00217595"/>
    <w:rsid w:val="002220E0"/>
    <w:rsid w:val="00233C7E"/>
    <w:rsid w:val="00245E7C"/>
    <w:rsid w:val="00250D37"/>
    <w:rsid w:val="00252B4B"/>
    <w:rsid w:val="00287297"/>
    <w:rsid w:val="00296767"/>
    <w:rsid w:val="002A6694"/>
    <w:rsid w:val="002B52DC"/>
    <w:rsid w:val="002C1376"/>
    <w:rsid w:val="002C1BCD"/>
    <w:rsid w:val="002D6D00"/>
    <w:rsid w:val="002D7F90"/>
    <w:rsid w:val="002E5FCF"/>
    <w:rsid w:val="00302043"/>
    <w:rsid w:val="003444AD"/>
    <w:rsid w:val="00347001"/>
    <w:rsid w:val="0035151D"/>
    <w:rsid w:val="00351931"/>
    <w:rsid w:val="00351F67"/>
    <w:rsid w:val="00355F19"/>
    <w:rsid w:val="00364125"/>
    <w:rsid w:val="00364FF4"/>
    <w:rsid w:val="0036722A"/>
    <w:rsid w:val="00370113"/>
    <w:rsid w:val="00377F91"/>
    <w:rsid w:val="00380110"/>
    <w:rsid w:val="00384B90"/>
    <w:rsid w:val="00393623"/>
    <w:rsid w:val="003A22C9"/>
    <w:rsid w:val="003C4854"/>
    <w:rsid w:val="003D23D6"/>
    <w:rsid w:val="003D4264"/>
    <w:rsid w:val="003E7FC0"/>
    <w:rsid w:val="0041163A"/>
    <w:rsid w:val="00423146"/>
    <w:rsid w:val="00430651"/>
    <w:rsid w:val="00432112"/>
    <w:rsid w:val="004421C6"/>
    <w:rsid w:val="00444CE8"/>
    <w:rsid w:val="00453A29"/>
    <w:rsid w:val="004553DE"/>
    <w:rsid w:val="004616AF"/>
    <w:rsid w:val="00462DD9"/>
    <w:rsid w:val="004952DC"/>
    <w:rsid w:val="004B720E"/>
    <w:rsid w:val="004B7FDC"/>
    <w:rsid w:val="004C5463"/>
    <w:rsid w:val="004E73D8"/>
    <w:rsid w:val="004F7693"/>
    <w:rsid w:val="005155E8"/>
    <w:rsid w:val="00516481"/>
    <w:rsid w:val="0051755C"/>
    <w:rsid w:val="0052252A"/>
    <w:rsid w:val="005312F5"/>
    <w:rsid w:val="00533C34"/>
    <w:rsid w:val="00541610"/>
    <w:rsid w:val="00565374"/>
    <w:rsid w:val="005666A2"/>
    <w:rsid w:val="00570CD4"/>
    <w:rsid w:val="00572CC2"/>
    <w:rsid w:val="005843FC"/>
    <w:rsid w:val="0058570D"/>
    <w:rsid w:val="00594B16"/>
    <w:rsid w:val="005A1C60"/>
    <w:rsid w:val="005C07CD"/>
    <w:rsid w:val="005C0E0D"/>
    <w:rsid w:val="006043D6"/>
    <w:rsid w:val="00604715"/>
    <w:rsid w:val="00612C82"/>
    <w:rsid w:val="006423C5"/>
    <w:rsid w:val="00642CFA"/>
    <w:rsid w:val="006529AB"/>
    <w:rsid w:val="00662422"/>
    <w:rsid w:val="00677953"/>
    <w:rsid w:val="0069639D"/>
    <w:rsid w:val="006A16FB"/>
    <w:rsid w:val="006A3D13"/>
    <w:rsid w:val="006B210F"/>
    <w:rsid w:val="006D7C40"/>
    <w:rsid w:val="007046E4"/>
    <w:rsid w:val="007050D4"/>
    <w:rsid w:val="00707203"/>
    <w:rsid w:val="00707B9A"/>
    <w:rsid w:val="00714C9E"/>
    <w:rsid w:val="0075416F"/>
    <w:rsid w:val="00762F7C"/>
    <w:rsid w:val="00764B13"/>
    <w:rsid w:val="00771EC0"/>
    <w:rsid w:val="00775650"/>
    <w:rsid w:val="0077597A"/>
    <w:rsid w:val="0078334D"/>
    <w:rsid w:val="00797B43"/>
    <w:rsid w:val="007B77C3"/>
    <w:rsid w:val="007D69D3"/>
    <w:rsid w:val="007D7344"/>
    <w:rsid w:val="007E43FC"/>
    <w:rsid w:val="007E4BEE"/>
    <w:rsid w:val="00801469"/>
    <w:rsid w:val="00807780"/>
    <w:rsid w:val="00825971"/>
    <w:rsid w:val="00832C5C"/>
    <w:rsid w:val="00843B37"/>
    <w:rsid w:val="00843B62"/>
    <w:rsid w:val="00843BC9"/>
    <w:rsid w:val="008510B7"/>
    <w:rsid w:val="00851B54"/>
    <w:rsid w:val="00853988"/>
    <w:rsid w:val="00871952"/>
    <w:rsid w:val="0088160E"/>
    <w:rsid w:val="00883473"/>
    <w:rsid w:val="008902B0"/>
    <w:rsid w:val="008A002B"/>
    <w:rsid w:val="008B13FA"/>
    <w:rsid w:val="008B4208"/>
    <w:rsid w:val="008C3A41"/>
    <w:rsid w:val="008C48FC"/>
    <w:rsid w:val="008F1158"/>
    <w:rsid w:val="009017A1"/>
    <w:rsid w:val="00911C4C"/>
    <w:rsid w:val="00920072"/>
    <w:rsid w:val="009237A8"/>
    <w:rsid w:val="00925091"/>
    <w:rsid w:val="0093665A"/>
    <w:rsid w:val="00956034"/>
    <w:rsid w:val="0095748C"/>
    <w:rsid w:val="00964D17"/>
    <w:rsid w:val="00983930"/>
    <w:rsid w:val="00997115"/>
    <w:rsid w:val="009A33BE"/>
    <w:rsid w:val="009A496F"/>
    <w:rsid w:val="009B13DA"/>
    <w:rsid w:val="009B6E97"/>
    <w:rsid w:val="009C748B"/>
    <w:rsid w:val="009D07D1"/>
    <w:rsid w:val="009D7336"/>
    <w:rsid w:val="009E027D"/>
    <w:rsid w:val="009E76D1"/>
    <w:rsid w:val="00A04782"/>
    <w:rsid w:val="00A12388"/>
    <w:rsid w:val="00A207C4"/>
    <w:rsid w:val="00A207E3"/>
    <w:rsid w:val="00A21648"/>
    <w:rsid w:val="00A2357A"/>
    <w:rsid w:val="00A26027"/>
    <w:rsid w:val="00A509D6"/>
    <w:rsid w:val="00A558E5"/>
    <w:rsid w:val="00A70F43"/>
    <w:rsid w:val="00A73837"/>
    <w:rsid w:val="00A90CE6"/>
    <w:rsid w:val="00AA5031"/>
    <w:rsid w:val="00AA7B2A"/>
    <w:rsid w:val="00AB5348"/>
    <w:rsid w:val="00AC073B"/>
    <w:rsid w:val="00AD4B87"/>
    <w:rsid w:val="00AD5D36"/>
    <w:rsid w:val="00AD63AE"/>
    <w:rsid w:val="00AD720F"/>
    <w:rsid w:val="00AD78FD"/>
    <w:rsid w:val="00AE6A7D"/>
    <w:rsid w:val="00AF044C"/>
    <w:rsid w:val="00B066BF"/>
    <w:rsid w:val="00B07CE5"/>
    <w:rsid w:val="00B13ACA"/>
    <w:rsid w:val="00B15E78"/>
    <w:rsid w:val="00B23B61"/>
    <w:rsid w:val="00B2535A"/>
    <w:rsid w:val="00B30D32"/>
    <w:rsid w:val="00B4324C"/>
    <w:rsid w:val="00B50A06"/>
    <w:rsid w:val="00B57D83"/>
    <w:rsid w:val="00B65E1F"/>
    <w:rsid w:val="00B672A6"/>
    <w:rsid w:val="00B8235F"/>
    <w:rsid w:val="00BA6AE2"/>
    <w:rsid w:val="00BB3210"/>
    <w:rsid w:val="00C061AB"/>
    <w:rsid w:val="00C06B11"/>
    <w:rsid w:val="00C10B74"/>
    <w:rsid w:val="00C137ED"/>
    <w:rsid w:val="00C1389F"/>
    <w:rsid w:val="00C447CC"/>
    <w:rsid w:val="00C54628"/>
    <w:rsid w:val="00C607A0"/>
    <w:rsid w:val="00C6773A"/>
    <w:rsid w:val="00C723F1"/>
    <w:rsid w:val="00C83977"/>
    <w:rsid w:val="00C83A0F"/>
    <w:rsid w:val="00C90E1E"/>
    <w:rsid w:val="00CC72FA"/>
    <w:rsid w:val="00CD68C0"/>
    <w:rsid w:val="00CF37DB"/>
    <w:rsid w:val="00D0047F"/>
    <w:rsid w:val="00D07F5D"/>
    <w:rsid w:val="00D21B93"/>
    <w:rsid w:val="00D80C43"/>
    <w:rsid w:val="00DB6EBF"/>
    <w:rsid w:val="00DB7C2E"/>
    <w:rsid w:val="00DC024C"/>
    <w:rsid w:val="00DC0BD4"/>
    <w:rsid w:val="00DD31DE"/>
    <w:rsid w:val="00DD78EE"/>
    <w:rsid w:val="00DE3061"/>
    <w:rsid w:val="00DE5743"/>
    <w:rsid w:val="00DE678A"/>
    <w:rsid w:val="00DE6FAF"/>
    <w:rsid w:val="00DF5ADD"/>
    <w:rsid w:val="00E0357A"/>
    <w:rsid w:val="00E03D7E"/>
    <w:rsid w:val="00E12164"/>
    <w:rsid w:val="00E17CD6"/>
    <w:rsid w:val="00E17FBD"/>
    <w:rsid w:val="00E24C22"/>
    <w:rsid w:val="00E261C8"/>
    <w:rsid w:val="00E37D97"/>
    <w:rsid w:val="00E75D1C"/>
    <w:rsid w:val="00E807CB"/>
    <w:rsid w:val="00E82C7D"/>
    <w:rsid w:val="00E837BB"/>
    <w:rsid w:val="00E86ACC"/>
    <w:rsid w:val="00E91BF6"/>
    <w:rsid w:val="00E95E33"/>
    <w:rsid w:val="00E97818"/>
    <w:rsid w:val="00EA13EA"/>
    <w:rsid w:val="00EB4C68"/>
    <w:rsid w:val="00EB6CFC"/>
    <w:rsid w:val="00EC1BC3"/>
    <w:rsid w:val="00ED3A18"/>
    <w:rsid w:val="00EE3898"/>
    <w:rsid w:val="00EF7FFB"/>
    <w:rsid w:val="00F01D99"/>
    <w:rsid w:val="00F1103D"/>
    <w:rsid w:val="00F122E4"/>
    <w:rsid w:val="00F148E4"/>
    <w:rsid w:val="00F23D48"/>
    <w:rsid w:val="00F359C2"/>
    <w:rsid w:val="00F40804"/>
    <w:rsid w:val="00F87B41"/>
    <w:rsid w:val="00FA3190"/>
    <w:rsid w:val="00FA3ED6"/>
    <w:rsid w:val="00FA7A0D"/>
    <w:rsid w:val="00FB2932"/>
    <w:rsid w:val="00FB620F"/>
    <w:rsid w:val="00FC476C"/>
    <w:rsid w:val="00FD31B9"/>
    <w:rsid w:val="00FD46D4"/>
    <w:rsid w:val="00FD5252"/>
    <w:rsid w:val="00FE1728"/>
    <w:rsid w:val="0210424D"/>
    <w:rsid w:val="0232047D"/>
    <w:rsid w:val="02A2206C"/>
    <w:rsid w:val="031D7C8A"/>
    <w:rsid w:val="032E2909"/>
    <w:rsid w:val="035717DD"/>
    <w:rsid w:val="03A13EF0"/>
    <w:rsid w:val="03A66C58"/>
    <w:rsid w:val="04844854"/>
    <w:rsid w:val="04BA2023"/>
    <w:rsid w:val="04DE4250"/>
    <w:rsid w:val="054F15F5"/>
    <w:rsid w:val="05763949"/>
    <w:rsid w:val="061A5470"/>
    <w:rsid w:val="06AC0092"/>
    <w:rsid w:val="07293490"/>
    <w:rsid w:val="07702E6D"/>
    <w:rsid w:val="079A613C"/>
    <w:rsid w:val="07BE7577"/>
    <w:rsid w:val="08674270"/>
    <w:rsid w:val="08EA0DB0"/>
    <w:rsid w:val="096B4801"/>
    <w:rsid w:val="09E11DB2"/>
    <w:rsid w:val="0A6172BC"/>
    <w:rsid w:val="0B3160EB"/>
    <w:rsid w:val="0BD7170D"/>
    <w:rsid w:val="0C433753"/>
    <w:rsid w:val="0C836295"/>
    <w:rsid w:val="0F331350"/>
    <w:rsid w:val="0F585443"/>
    <w:rsid w:val="0F5C32C3"/>
    <w:rsid w:val="0FA9326D"/>
    <w:rsid w:val="102D7B73"/>
    <w:rsid w:val="105E47C5"/>
    <w:rsid w:val="11085843"/>
    <w:rsid w:val="11FC1ECD"/>
    <w:rsid w:val="12042B30"/>
    <w:rsid w:val="123D697C"/>
    <w:rsid w:val="12476367"/>
    <w:rsid w:val="12AC266A"/>
    <w:rsid w:val="13336797"/>
    <w:rsid w:val="13BA3DEE"/>
    <w:rsid w:val="14771CDF"/>
    <w:rsid w:val="15632263"/>
    <w:rsid w:val="157D1577"/>
    <w:rsid w:val="160475A2"/>
    <w:rsid w:val="166F6404"/>
    <w:rsid w:val="1695469E"/>
    <w:rsid w:val="16D51ACE"/>
    <w:rsid w:val="170C1C64"/>
    <w:rsid w:val="17B7367F"/>
    <w:rsid w:val="17E72CD8"/>
    <w:rsid w:val="191D58FB"/>
    <w:rsid w:val="19744A3F"/>
    <w:rsid w:val="19AF0CB4"/>
    <w:rsid w:val="19EF40C6"/>
    <w:rsid w:val="19FD4A34"/>
    <w:rsid w:val="1A4A6F31"/>
    <w:rsid w:val="1A5E5307"/>
    <w:rsid w:val="1A6A7BF0"/>
    <w:rsid w:val="1B4548E5"/>
    <w:rsid w:val="1B5C39DD"/>
    <w:rsid w:val="1BF06C65"/>
    <w:rsid w:val="1E652BA8"/>
    <w:rsid w:val="1E766B63"/>
    <w:rsid w:val="1E8A2602"/>
    <w:rsid w:val="1E927573"/>
    <w:rsid w:val="1F0B7D51"/>
    <w:rsid w:val="1F0C0196"/>
    <w:rsid w:val="1F29708D"/>
    <w:rsid w:val="1FB14406"/>
    <w:rsid w:val="20740615"/>
    <w:rsid w:val="20F1428D"/>
    <w:rsid w:val="21582410"/>
    <w:rsid w:val="22097CEF"/>
    <w:rsid w:val="2254540E"/>
    <w:rsid w:val="22954E49"/>
    <w:rsid w:val="22DF18DE"/>
    <w:rsid w:val="2363679C"/>
    <w:rsid w:val="243E0123"/>
    <w:rsid w:val="24700313"/>
    <w:rsid w:val="247C6E9E"/>
    <w:rsid w:val="25EE7927"/>
    <w:rsid w:val="26E061EA"/>
    <w:rsid w:val="27475541"/>
    <w:rsid w:val="27497377"/>
    <w:rsid w:val="28CA26A8"/>
    <w:rsid w:val="2A151926"/>
    <w:rsid w:val="2A4A1292"/>
    <w:rsid w:val="2A4D10C0"/>
    <w:rsid w:val="2A541283"/>
    <w:rsid w:val="2AF92FF6"/>
    <w:rsid w:val="2B852ADC"/>
    <w:rsid w:val="2BB36869"/>
    <w:rsid w:val="2BCE72A5"/>
    <w:rsid w:val="2BF105BD"/>
    <w:rsid w:val="2C88731E"/>
    <w:rsid w:val="2CEFCBB2"/>
    <w:rsid w:val="2E775A19"/>
    <w:rsid w:val="2F2F5238"/>
    <w:rsid w:val="2F436F36"/>
    <w:rsid w:val="305978D7"/>
    <w:rsid w:val="31D45CBC"/>
    <w:rsid w:val="3273368E"/>
    <w:rsid w:val="33440CE8"/>
    <w:rsid w:val="34F97807"/>
    <w:rsid w:val="35CD57AB"/>
    <w:rsid w:val="3736506E"/>
    <w:rsid w:val="373B6744"/>
    <w:rsid w:val="37D4090A"/>
    <w:rsid w:val="37F8B956"/>
    <w:rsid w:val="388A7983"/>
    <w:rsid w:val="38EC6FC4"/>
    <w:rsid w:val="38EF5F27"/>
    <w:rsid w:val="392E6561"/>
    <w:rsid w:val="39591EE8"/>
    <w:rsid w:val="396E2E01"/>
    <w:rsid w:val="3A63223A"/>
    <w:rsid w:val="3AFB3166"/>
    <w:rsid w:val="3E353EED"/>
    <w:rsid w:val="3E7964D0"/>
    <w:rsid w:val="3ECF7F2F"/>
    <w:rsid w:val="3EE67CC2"/>
    <w:rsid w:val="3EFC7AE5"/>
    <w:rsid w:val="3FB24601"/>
    <w:rsid w:val="3FD87226"/>
    <w:rsid w:val="3FFF8ACD"/>
    <w:rsid w:val="40AB493B"/>
    <w:rsid w:val="417BDCD8"/>
    <w:rsid w:val="41F12821"/>
    <w:rsid w:val="42254279"/>
    <w:rsid w:val="4284288A"/>
    <w:rsid w:val="431467C7"/>
    <w:rsid w:val="43E95AE5"/>
    <w:rsid w:val="44E126D9"/>
    <w:rsid w:val="450C74F7"/>
    <w:rsid w:val="45631DE6"/>
    <w:rsid w:val="459F256E"/>
    <w:rsid w:val="45B1654F"/>
    <w:rsid w:val="465313B5"/>
    <w:rsid w:val="465B37FE"/>
    <w:rsid w:val="47343CDB"/>
    <w:rsid w:val="4775717B"/>
    <w:rsid w:val="477BECC4"/>
    <w:rsid w:val="47DC5461"/>
    <w:rsid w:val="47ED3A8B"/>
    <w:rsid w:val="48074B4D"/>
    <w:rsid w:val="48147370"/>
    <w:rsid w:val="4825066E"/>
    <w:rsid w:val="496918F5"/>
    <w:rsid w:val="496B110B"/>
    <w:rsid w:val="498B355B"/>
    <w:rsid w:val="4A0F5F3A"/>
    <w:rsid w:val="4A3634C7"/>
    <w:rsid w:val="4B603D34"/>
    <w:rsid w:val="4D0C49B3"/>
    <w:rsid w:val="4D4324E8"/>
    <w:rsid w:val="4E1C6E78"/>
    <w:rsid w:val="4E6139BD"/>
    <w:rsid w:val="4E8309DA"/>
    <w:rsid w:val="4EC04804"/>
    <w:rsid w:val="4ED137BE"/>
    <w:rsid w:val="4EEA4880"/>
    <w:rsid w:val="4F477F24"/>
    <w:rsid w:val="4F5E5961"/>
    <w:rsid w:val="4F7B1B3E"/>
    <w:rsid w:val="4FFD311C"/>
    <w:rsid w:val="50151DD1"/>
    <w:rsid w:val="50203AF4"/>
    <w:rsid w:val="50395ABF"/>
    <w:rsid w:val="5187285A"/>
    <w:rsid w:val="51B82FD1"/>
    <w:rsid w:val="51E47CAD"/>
    <w:rsid w:val="521D0E97"/>
    <w:rsid w:val="52813E22"/>
    <w:rsid w:val="5298394F"/>
    <w:rsid w:val="52B72CCB"/>
    <w:rsid w:val="52C11D9C"/>
    <w:rsid w:val="53C438F2"/>
    <w:rsid w:val="53F6FC71"/>
    <w:rsid w:val="54085A12"/>
    <w:rsid w:val="54464164"/>
    <w:rsid w:val="54C9164E"/>
    <w:rsid w:val="55AB61A9"/>
    <w:rsid w:val="55D3606E"/>
    <w:rsid w:val="55DE607E"/>
    <w:rsid w:val="560A4A82"/>
    <w:rsid w:val="57BFC646"/>
    <w:rsid w:val="57D810AF"/>
    <w:rsid w:val="582C5F09"/>
    <w:rsid w:val="58A43CF2"/>
    <w:rsid w:val="593C3F2A"/>
    <w:rsid w:val="5966544B"/>
    <w:rsid w:val="59941FB8"/>
    <w:rsid w:val="5AE171E5"/>
    <w:rsid w:val="5BED3C02"/>
    <w:rsid w:val="5C190553"/>
    <w:rsid w:val="5C62014C"/>
    <w:rsid w:val="5D261179"/>
    <w:rsid w:val="5D2E05EA"/>
    <w:rsid w:val="5D7C523D"/>
    <w:rsid w:val="5E793590"/>
    <w:rsid w:val="5F147E70"/>
    <w:rsid w:val="5F48187B"/>
    <w:rsid w:val="5F6A7145"/>
    <w:rsid w:val="5FAB1E0A"/>
    <w:rsid w:val="5FC94784"/>
    <w:rsid w:val="5FD90D61"/>
    <w:rsid w:val="60862B2F"/>
    <w:rsid w:val="613F6527"/>
    <w:rsid w:val="61D17CC1"/>
    <w:rsid w:val="623205C0"/>
    <w:rsid w:val="628A4161"/>
    <w:rsid w:val="62DB3242"/>
    <w:rsid w:val="631F0B45"/>
    <w:rsid w:val="63595AD6"/>
    <w:rsid w:val="64220238"/>
    <w:rsid w:val="64F93617"/>
    <w:rsid w:val="64FF1CA3"/>
    <w:rsid w:val="655A4885"/>
    <w:rsid w:val="65DA0BBF"/>
    <w:rsid w:val="6635067F"/>
    <w:rsid w:val="6647300F"/>
    <w:rsid w:val="6647B3B4"/>
    <w:rsid w:val="66605802"/>
    <w:rsid w:val="669435F8"/>
    <w:rsid w:val="672A5D0A"/>
    <w:rsid w:val="672C7ABE"/>
    <w:rsid w:val="67BF334B"/>
    <w:rsid w:val="67D0240D"/>
    <w:rsid w:val="684E3B71"/>
    <w:rsid w:val="68B97345"/>
    <w:rsid w:val="68E63EB3"/>
    <w:rsid w:val="68F93BE6"/>
    <w:rsid w:val="699430CE"/>
    <w:rsid w:val="69F04FE9"/>
    <w:rsid w:val="6A2C3B47"/>
    <w:rsid w:val="6BCC55E2"/>
    <w:rsid w:val="6BDD45E4"/>
    <w:rsid w:val="6C080B2D"/>
    <w:rsid w:val="6C20148A"/>
    <w:rsid w:val="6C3E79CB"/>
    <w:rsid w:val="6C8D4D71"/>
    <w:rsid w:val="6D7A2269"/>
    <w:rsid w:val="6DA305C4"/>
    <w:rsid w:val="6F7F2EAB"/>
    <w:rsid w:val="6F7F36B7"/>
    <w:rsid w:val="6FC54822"/>
    <w:rsid w:val="6FED3CED"/>
    <w:rsid w:val="6FEE1FCA"/>
    <w:rsid w:val="6FFFF08B"/>
    <w:rsid w:val="716B13F9"/>
    <w:rsid w:val="71B76B7E"/>
    <w:rsid w:val="71C01745"/>
    <w:rsid w:val="72C76B03"/>
    <w:rsid w:val="72D34F77"/>
    <w:rsid w:val="72E256EB"/>
    <w:rsid w:val="72E7C367"/>
    <w:rsid w:val="73B928EF"/>
    <w:rsid w:val="74664AF4"/>
    <w:rsid w:val="74F04754"/>
    <w:rsid w:val="759D69F6"/>
    <w:rsid w:val="75F72E4C"/>
    <w:rsid w:val="76D812DE"/>
    <w:rsid w:val="76EA3BCB"/>
    <w:rsid w:val="77E43CB3"/>
    <w:rsid w:val="797A472C"/>
    <w:rsid w:val="79AB2CDA"/>
    <w:rsid w:val="7A1F656A"/>
    <w:rsid w:val="7A995229"/>
    <w:rsid w:val="7AC027B5"/>
    <w:rsid w:val="7B447C51"/>
    <w:rsid w:val="7B6227C6"/>
    <w:rsid w:val="7BEE6EAE"/>
    <w:rsid w:val="7D676F18"/>
    <w:rsid w:val="7DF7031D"/>
    <w:rsid w:val="7E040C0B"/>
    <w:rsid w:val="7E1C221C"/>
    <w:rsid w:val="7E1F5A45"/>
    <w:rsid w:val="7E5371A3"/>
    <w:rsid w:val="7EA877E8"/>
    <w:rsid w:val="7EC64112"/>
    <w:rsid w:val="7F3A9C04"/>
    <w:rsid w:val="7F7BB421"/>
    <w:rsid w:val="7FBEEA31"/>
    <w:rsid w:val="8BBC896F"/>
    <w:rsid w:val="9F76D664"/>
    <w:rsid w:val="9F7F5B80"/>
    <w:rsid w:val="A7B0A85F"/>
    <w:rsid w:val="AB9E9609"/>
    <w:rsid w:val="AD3F3BD4"/>
    <w:rsid w:val="AF7DE37E"/>
    <w:rsid w:val="BF265F33"/>
    <w:rsid w:val="BFBFF83C"/>
    <w:rsid w:val="BFFF0240"/>
    <w:rsid w:val="BFFFA257"/>
    <w:rsid w:val="C5FBF4CE"/>
    <w:rsid w:val="C7BFB650"/>
    <w:rsid w:val="CC3F0F08"/>
    <w:rsid w:val="CC6E5043"/>
    <w:rsid w:val="D5ED525B"/>
    <w:rsid w:val="DDCBAFE4"/>
    <w:rsid w:val="DDDDE8FA"/>
    <w:rsid w:val="DEFBB40F"/>
    <w:rsid w:val="DFB5CE2D"/>
    <w:rsid w:val="DFCC039A"/>
    <w:rsid w:val="DFEB0DD0"/>
    <w:rsid w:val="DFEF0515"/>
    <w:rsid w:val="E9DAF53B"/>
    <w:rsid w:val="EAFEFFE6"/>
    <w:rsid w:val="EBFE0574"/>
    <w:rsid w:val="EEDFDE06"/>
    <w:rsid w:val="EEE9AFFD"/>
    <w:rsid w:val="EFEF5044"/>
    <w:rsid w:val="EFFE9A8E"/>
    <w:rsid w:val="F35E7133"/>
    <w:rsid w:val="F5DF1F51"/>
    <w:rsid w:val="F776AAC8"/>
    <w:rsid w:val="F7B1ED1F"/>
    <w:rsid w:val="F7BC6146"/>
    <w:rsid w:val="F7BC99BC"/>
    <w:rsid w:val="FAF72F5A"/>
    <w:rsid w:val="FBDF5980"/>
    <w:rsid w:val="FBFFEF96"/>
    <w:rsid w:val="FEF6BF75"/>
    <w:rsid w:val="FF83A0A3"/>
    <w:rsid w:val="FFBD005E"/>
    <w:rsid w:val="FFBFB55C"/>
    <w:rsid w:val="FFD7F2DE"/>
    <w:rsid w:val="FFFF6235"/>
    <w:rsid w:val="FFFFD22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Times New Roman"/>
      <w:kern w:val="2"/>
      <w:sz w:val="21"/>
      <w:szCs w:val="24"/>
      <w:lang w:val="en-US" w:eastAsia="zh-CN" w:bidi="ar-SA"/>
    </w:rPr>
  </w:style>
  <w:style w:type="paragraph" w:styleId="2">
    <w:name w:val="heading 3"/>
    <w:next w:val="1"/>
    <w:qFormat/>
    <w:uiPriority w:val="0"/>
    <w:pPr>
      <w:widowControl w:val="0"/>
      <w:spacing w:before="260" w:after="260" w:line="416" w:lineRule="auto"/>
      <w:jc w:val="both"/>
      <w:outlineLvl w:val="2"/>
    </w:pPr>
    <w:rPr>
      <w:rFonts w:ascii="Calibri" w:hAnsi="仿宋_GB2312" w:eastAsia="楷体_GB2312" w:cs="Times New Roman"/>
      <w:b/>
      <w:bCs/>
      <w:kern w:val="2"/>
      <w:sz w:val="21"/>
      <w:szCs w:val="32"/>
      <w:lang w:val="en-US" w:eastAsia="zh-CN" w:bidi="ar-SA"/>
    </w:rPr>
  </w:style>
  <w:style w:type="character" w:default="1" w:styleId="11">
    <w:name w:val="Default Paragraph Font"/>
    <w:unhideWhenUsed/>
    <w:qFormat/>
    <w:uiPriority w:val="1"/>
  </w:style>
  <w:style w:type="table" w:default="1" w:styleId="10">
    <w:name w:val="Normal Table"/>
    <w:unhideWhenUsed/>
    <w:qFormat/>
    <w:uiPriority w:val="99"/>
    <w:tblPr>
      <w:tblCellMar>
        <w:top w:w="0" w:type="dxa"/>
        <w:left w:w="108" w:type="dxa"/>
        <w:bottom w:w="0" w:type="dxa"/>
        <w:right w:w="108" w:type="dxa"/>
      </w:tblCellMar>
    </w:tblPr>
  </w:style>
  <w:style w:type="paragraph" w:styleId="3">
    <w:name w:val="Normal Indent"/>
    <w:unhideWhenUsed/>
    <w:qFormat/>
    <w:uiPriority w:val="99"/>
    <w:pPr>
      <w:widowControl w:val="0"/>
      <w:ind w:firstLine="200" w:firstLineChars="200"/>
      <w:jc w:val="both"/>
    </w:pPr>
    <w:rPr>
      <w:rFonts w:ascii="等线" w:hAnsi="等线" w:eastAsia="等线" w:cs="Times New Roman"/>
      <w:kern w:val="2"/>
      <w:sz w:val="21"/>
      <w:szCs w:val="22"/>
      <w:lang w:val="en-US" w:eastAsia="zh-CN" w:bidi="ar-SA"/>
    </w:rPr>
  </w:style>
  <w:style w:type="paragraph" w:styleId="4">
    <w:name w:val="annotation text"/>
    <w:basedOn w:val="1"/>
    <w:link w:val="14"/>
    <w:unhideWhenUsed/>
    <w:qFormat/>
    <w:uiPriority w:val="99"/>
    <w:pPr>
      <w:jc w:val="left"/>
    </w:pPr>
  </w:style>
  <w:style w:type="paragraph" w:styleId="5">
    <w:name w:val="Body Text Indent 2"/>
    <w:basedOn w:val="1"/>
    <w:qFormat/>
    <w:uiPriority w:val="0"/>
    <w:pPr>
      <w:spacing w:after="120" w:line="480" w:lineRule="auto"/>
      <w:ind w:left="420" w:leftChars="200"/>
    </w:pPr>
  </w:style>
  <w:style w:type="paragraph" w:styleId="6">
    <w:name w:val="Balloon Text"/>
    <w:basedOn w:val="1"/>
    <w:link w:val="15"/>
    <w:unhideWhenUsed/>
    <w:qFormat/>
    <w:uiPriority w:val="99"/>
    <w:rPr>
      <w:sz w:val="18"/>
      <w:szCs w:val="18"/>
    </w:rPr>
  </w:style>
  <w:style w:type="paragraph" w:styleId="7">
    <w:name w:val="footer"/>
    <w:basedOn w:val="1"/>
    <w:link w:val="16"/>
    <w:unhideWhenUsed/>
    <w:qFormat/>
    <w:uiPriority w:val="99"/>
    <w:pPr>
      <w:tabs>
        <w:tab w:val="center" w:pos="4153"/>
        <w:tab w:val="right" w:pos="8306"/>
      </w:tabs>
      <w:snapToGrid w:val="0"/>
      <w:jc w:val="left"/>
    </w:pPr>
    <w:rPr>
      <w:sz w:val="18"/>
      <w:szCs w:val="18"/>
    </w:rPr>
  </w:style>
  <w:style w:type="paragraph" w:styleId="8">
    <w:name w:val="header"/>
    <w:basedOn w:val="1"/>
    <w:link w:val="17"/>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annotation subject"/>
    <w:basedOn w:val="4"/>
    <w:next w:val="4"/>
    <w:link w:val="18"/>
    <w:unhideWhenUsed/>
    <w:qFormat/>
    <w:uiPriority w:val="99"/>
    <w:rPr>
      <w:b/>
      <w:bCs/>
    </w:rPr>
  </w:style>
  <w:style w:type="character" w:styleId="12">
    <w:name w:val="Strong"/>
    <w:basedOn w:val="11"/>
    <w:qFormat/>
    <w:uiPriority w:val="0"/>
    <w:rPr>
      <w:b/>
    </w:rPr>
  </w:style>
  <w:style w:type="character" w:styleId="13">
    <w:name w:val="annotation reference"/>
    <w:basedOn w:val="11"/>
    <w:unhideWhenUsed/>
    <w:qFormat/>
    <w:uiPriority w:val="99"/>
    <w:rPr>
      <w:sz w:val="21"/>
      <w:szCs w:val="21"/>
    </w:rPr>
  </w:style>
  <w:style w:type="character" w:customStyle="1" w:styleId="14">
    <w:name w:val="批注文字 字符"/>
    <w:basedOn w:val="11"/>
    <w:link w:val="4"/>
    <w:semiHidden/>
    <w:qFormat/>
    <w:uiPriority w:val="99"/>
    <w:rPr>
      <w:kern w:val="2"/>
      <w:sz w:val="21"/>
      <w:szCs w:val="24"/>
    </w:rPr>
  </w:style>
  <w:style w:type="character" w:customStyle="1" w:styleId="15">
    <w:name w:val="批注框文本 字符"/>
    <w:basedOn w:val="11"/>
    <w:link w:val="6"/>
    <w:semiHidden/>
    <w:qFormat/>
    <w:uiPriority w:val="99"/>
    <w:rPr>
      <w:kern w:val="2"/>
      <w:sz w:val="18"/>
      <w:szCs w:val="18"/>
    </w:rPr>
  </w:style>
  <w:style w:type="character" w:customStyle="1" w:styleId="16">
    <w:name w:val="页脚 字符"/>
    <w:basedOn w:val="11"/>
    <w:link w:val="7"/>
    <w:qFormat/>
    <w:uiPriority w:val="99"/>
    <w:rPr>
      <w:sz w:val="18"/>
      <w:szCs w:val="18"/>
    </w:rPr>
  </w:style>
  <w:style w:type="character" w:customStyle="1" w:styleId="17">
    <w:name w:val="页眉 字符"/>
    <w:basedOn w:val="11"/>
    <w:link w:val="8"/>
    <w:qFormat/>
    <w:uiPriority w:val="99"/>
    <w:rPr>
      <w:sz w:val="18"/>
      <w:szCs w:val="18"/>
    </w:rPr>
  </w:style>
  <w:style w:type="character" w:customStyle="1" w:styleId="18">
    <w:name w:val="批注主题 字符"/>
    <w:basedOn w:val="14"/>
    <w:link w:val="9"/>
    <w:semiHidden/>
    <w:qFormat/>
    <w:uiPriority w:val="99"/>
    <w:rPr>
      <w:b/>
      <w:bCs/>
      <w:kern w:val="2"/>
      <w:sz w:val="21"/>
      <w:szCs w:val="24"/>
    </w:rPr>
  </w:style>
  <w:style w:type="paragraph" w:styleId="19">
    <w:name w:val="List Paragraph"/>
    <w:basedOn w:val="1"/>
    <w:qFormat/>
    <w:uiPriority w:val="34"/>
    <w:pPr>
      <w:ind w:firstLine="420" w:firstLineChars="200"/>
    </w:pPr>
  </w:style>
  <w:style w:type="paragraph" w:customStyle="1" w:styleId="20">
    <w:name w:val="修订1"/>
    <w:semiHidden/>
    <w:qFormat/>
    <w:uiPriority w:val="99"/>
    <w:rPr>
      <w:rFonts w:ascii="等线" w:hAnsi="等线" w:eastAsia="等线" w:cs="Times New Roman"/>
      <w:kern w:val="2"/>
      <w:sz w:val="21"/>
      <w:szCs w:val="24"/>
      <w:lang w:val="en-US" w:eastAsia="zh-CN" w:bidi="ar-SA"/>
    </w:rPr>
  </w:style>
  <w:style w:type="paragraph" w:customStyle="1" w:styleId="21">
    <w:name w:val="修订2"/>
    <w:semiHidden/>
    <w:qFormat/>
    <w:uiPriority w:val="99"/>
    <w:rPr>
      <w:rFonts w:ascii="等线" w:hAnsi="等线" w:eastAsia="等线" w:cs="Times New Roman"/>
      <w:kern w:val="2"/>
      <w:sz w:val="21"/>
      <w:szCs w:val="24"/>
      <w:lang w:val="en-US" w:eastAsia="zh-CN" w:bidi="ar-SA"/>
    </w:rPr>
  </w:style>
  <w:style w:type="paragraph" w:customStyle="1" w:styleId="22">
    <w:name w:val="修订3"/>
    <w:semiHidden/>
    <w:qFormat/>
    <w:uiPriority w:val="99"/>
    <w:rPr>
      <w:rFonts w:ascii="等线" w:hAnsi="等线" w:eastAsia="等线" w:cs="Times New Roman"/>
      <w:kern w:val="2"/>
      <w:sz w:val="21"/>
      <w:szCs w:val="24"/>
      <w:lang w:val="en-US" w:eastAsia="zh-CN" w:bidi="ar-SA"/>
    </w:rPr>
  </w:style>
  <w:style w:type="paragraph" w:customStyle="1" w:styleId="23">
    <w:name w:val="Revision"/>
    <w:unhideWhenUsed/>
    <w:qFormat/>
    <w:uiPriority w:val="99"/>
    <w:rPr>
      <w:rFonts w:ascii="等线" w:hAnsi="等线" w:eastAsia="等线"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5</Pages>
  <Words>2372</Words>
  <Characters>2392</Characters>
  <Lines>74</Lines>
  <Paragraphs>22</Paragraphs>
  <TotalTime>1</TotalTime>
  <ScaleCrop>false</ScaleCrop>
  <LinksUpToDate>false</LinksUpToDate>
  <CharactersWithSpaces>2393</CharactersWithSpaces>
  <Application>WPS Office_11.8.2.9864_F1E327BC-269C-435d-A152-05C5408002CA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2025-07-12T10:48:00Z</dcterms:created>
  <dc:creator>金璐</dc:creator>
  <cp:lastModifiedBy>oa</cp:lastModifiedBy>
  <cp:lastPrinted>2026-10-10T16:01:51Z</cp:lastPrinted>
  <dcterms:modified xsi:type="dcterms:W3CDTF">2026-10-10T16:02:44Z</dcterms:modified>
  <dc:title>《团体标准化工作经费管理合规指南（送审稿）》</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2052-11.8.2.9864</vt:lpwstr>
  </property>
  <property fmtid="{D5CDD505-2E9C-101B-9397-08002B2CF9AE}" pid="3" name="ICV">
    <vt:lpwstr>522485A813AA611FB33C9A6A7EBB988E</vt:lpwstr>
  </property>
  <property fmtid="{D5CDD505-2E9C-101B-9397-08002B2CF9AE}" pid="4" name="KSOTemplateDocerSaveRecord">
    <vt:lpwstr>eyJoZGlkIjoiYjNlZmZlYWVmOTE2NzNhMzI4Mjk1NDAzNzM1NTYwOTAiLCJ1c2VySWQiOiIzNzkwNjA5MDYifQ==</vt:lpwstr>
  </property>
</Properties>
</file>