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val="0"/>
        <w:snapToGrid w:val="0"/>
        <w:spacing w:line="500" w:lineRule="exact"/>
        <w:jc w:val="both"/>
        <w:textAlignment w:val="auto"/>
        <w:outlineLvl w:val="0"/>
        <w:rPr>
          <w:rFonts w:hint="default" w:ascii="Times New Roman" w:hAnsi="Times New Roman" w:eastAsia="黑体" w:cs="Times New Roman"/>
          <w:snapToGrid w:val="0"/>
          <w:color w:val="000000"/>
          <w:sz w:val="32"/>
          <w:szCs w:val="32"/>
          <w:lang w:val="en-US" w:eastAsia="zh-CN"/>
        </w:rPr>
      </w:pPr>
      <w:r>
        <w:rPr>
          <w:rFonts w:hint="default" w:ascii="Times New Roman" w:hAnsi="Times New Roman" w:eastAsia="黑体" w:cs="Times New Roman"/>
          <w:snapToGrid w:val="0"/>
          <w:color w:val="000000"/>
          <w:sz w:val="32"/>
          <w:szCs w:val="32"/>
          <w:lang w:val="en-US" w:eastAsia="zh-CN"/>
        </w:rPr>
        <w:t>附</w:t>
      </w:r>
      <w:r>
        <w:rPr>
          <w:rFonts w:hint="eastAsia" w:ascii="Times New Roman" w:hAnsi="Times New Roman" w:eastAsia="黑体" w:cs="Times New Roman"/>
          <w:snapToGrid w:val="0"/>
          <w:color w:val="000000"/>
          <w:sz w:val="32"/>
          <w:szCs w:val="32"/>
          <w:lang w:val="en-US" w:eastAsia="zh-CN"/>
        </w:rPr>
        <w:t>件</w:t>
      </w:r>
      <w:r>
        <w:rPr>
          <w:rFonts w:hint="default" w:ascii="Times New Roman" w:hAnsi="Times New Roman" w:eastAsia="黑体" w:cs="Times New Roman"/>
          <w:snapToGrid w:val="0"/>
          <w:color w:val="000000"/>
          <w:sz w:val="32"/>
          <w:szCs w:val="32"/>
          <w:lang w:val="en-US" w:eastAsia="zh-CN"/>
        </w:rPr>
        <w:t>2</w:t>
      </w:r>
    </w:p>
    <w:p>
      <w:pPr>
        <w:keepNext w:val="0"/>
        <w:keepLines w:val="0"/>
        <w:pageBreakBefore w:val="0"/>
        <w:widowControl w:val="0"/>
        <w:kinsoku/>
        <w:wordWrap/>
        <w:overflowPunct w:val="0"/>
        <w:topLinePunct w:val="0"/>
        <w:autoSpaceDE/>
        <w:autoSpaceDN/>
        <w:bidi w:val="0"/>
        <w:adjustRightInd w:val="0"/>
        <w:snapToGrid w:val="0"/>
        <w:spacing w:line="500" w:lineRule="exact"/>
        <w:jc w:val="both"/>
        <w:textAlignment w:val="auto"/>
        <w:rPr>
          <w:rFonts w:hint="default" w:ascii="Times New Roman" w:hAnsi="Times New Roman" w:eastAsia="黑体" w:cs="Times New Roman"/>
          <w:snapToGrid w:val="0"/>
          <w:color w:val="000000"/>
          <w:sz w:val="32"/>
          <w:szCs w:val="32"/>
          <w:lang w:val="en-US" w:eastAsia="zh-CN"/>
        </w:rPr>
      </w:pPr>
    </w:p>
    <w:p>
      <w:pPr>
        <w:keepNext w:val="0"/>
        <w:keepLines w:val="0"/>
        <w:pageBreakBefore w:val="0"/>
        <w:widowControl w:val="0"/>
        <w:kinsoku/>
        <w:wordWrap/>
        <w:overflowPunct w:val="0"/>
        <w:topLinePunct w:val="0"/>
        <w:autoSpaceDE/>
        <w:autoSpaceDN/>
        <w:bidi w:val="0"/>
        <w:adjustRightInd w:val="0"/>
        <w:snapToGrid w:val="0"/>
        <w:spacing w:line="660" w:lineRule="exact"/>
        <w:jc w:val="center"/>
        <w:textAlignment w:val="auto"/>
        <w:rPr>
          <w:rFonts w:hint="eastAsia" w:ascii="Times New Roman" w:hAnsi="Times New Roman" w:eastAsia="方正小标宋简体" w:cs="方正小标宋简体"/>
          <w:snapToGrid w:val="0"/>
          <w:color w:val="000000"/>
          <w:sz w:val="44"/>
          <w:szCs w:val="44"/>
          <w:lang w:val="en-US" w:eastAsia="zh-CN"/>
        </w:rPr>
      </w:pPr>
      <w:r>
        <w:rPr>
          <w:rFonts w:hint="eastAsia" w:ascii="Times New Roman" w:hAnsi="Times New Roman" w:eastAsia="方正小标宋简体" w:cs="方正小标宋简体"/>
          <w:snapToGrid w:val="0"/>
          <w:color w:val="000000"/>
          <w:sz w:val="44"/>
          <w:szCs w:val="44"/>
          <w:lang w:val="en-US" w:eastAsia="zh-CN"/>
        </w:rPr>
        <w:t>2026年全国“优化消费环境月”</w:t>
      </w:r>
    </w:p>
    <w:p>
      <w:pPr>
        <w:keepNext w:val="0"/>
        <w:keepLines w:val="0"/>
        <w:pageBreakBefore w:val="0"/>
        <w:widowControl w:val="0"/>
        <w:kinsoku/>
        <w:wordWrap/>
        <w:overflowPunct w:val="0"/>
        <w:topLinePunct w:val="0"/>
        <w:autoSpaceDE/>
        <w:autoSpaceDN/>
        <w:bidi w:val="0"/>
        <w:adjustRightInd w:val="0"/>
        <w:snapToGrid w:val="0"/>
        <w:spacing w:line="660" w:lineRule="exact"/>
        <w:jc w:val="center"/>
        <w:textAlignment w:val="auto"/>
        <w:rPr>
          <w:rFonts w:hint="eastAsia" w:ascii="Times New Roman" w:hAnsi="Times New Roman" w:eastAsia="方正小标宋简体" w:cs="方正小标宋简体"/>
          <w:snapToGrid w:val="0"/>
          <w:color w:val="000000"/>
          <w:sz w:val="44"/>
          <w:szCs w:val="44"/>
          <w:lang w:val="en-US" w:eastAsia="zh-CN"/>
        </w:rPr>
      </w:pPr>
      <w:r>
        <w:rPr>
          <w:rFonts w:hint="eastAsia" w:ascii="Times New Roman" w:hAnsi="Times New Roman" w:eastAsia="方正小标宋简体" w:cs="方正小标宋简体"/>
          <w:snapToGrid w:val="0"/>
          <w:color w:val="000000"/>
          <w:sz w:val="44"/>
          <w:szCs w:val="44"/>
          <w:lang w:val="en-US" w:eastAsia="zh-CN"/>
        </w:rPr>
        <w:t>相关联合会、学协会开展的主要活动</w:t>
      </w:r>
    </w:p>
    <w:p>
      <w:pPr>
        <w:keepNext w:val="0"/>
        <w:keepLines w:val="0"/>
        <w:pageBreakBefore w:val="0"/>
        <w:widowControl w:val="0"/>
        <w:kinsoku/>
        <w:wordWrap/>
        <w:overflowPunct w:val="0"/>
        <w:topLinePunct w:val="0"/>
        <w:autoSpaceDE/>
        <w:autoSpaceDN/>
        <w:bidi w:val="0"/>
        <w:adjustRightInd w:val="0"/>
        <w:snapToGrid w:val="0"/>
        <w:spacing w:line="594" w:lineRule="exact"/>
        <w:jc w:val="both"/>
        <w:textAlignment w:val="auto"/>
        <w:rPr>
          <w:rFonts w:hint="eastAsia" w:ascii="Times New Roman" w:hAnsi="Times New Roman" w:eastAsia="仿宋_GB2312" w:cs="仿宋_GB2312"/>
          <w:snapToGrid w:val="0"/>
          <w:color w:val="000000"/>
          <w:sz w:val="32"/>
          <w:szCs w:val="32"/>
          <w:lang w:val="en-US" w:eastAsia="zh-CN"/>
        </w:rPr>
      </w:pP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snapToGrid w:val="0"/>
          <w:color w:val="000000"/>
          <w:sz w:val="32"/>
          <w:szCs w:val="32"/>
          <w:lang w:val="en-US" w:eastAsia="zh-CN"/>
        </w:rPr>
      </w:pPr>
      <w:r>
        <w:rPr>
          <w:rFonts w:hint="eastAsia" w:ascii="Times New Roman" w:hAnsi="Times New Roman" w:eastAsia="黑体" w:cs="黑体"/>
          <w:snapToGrid w:val="0"/>
          <w:color w:val="000000"/>
          <w:sz w:val="32"/>
          <w:szCs w:val="32"/>
          <w:lang w:val="en-US" w:eastAsia="zh-CN"/>
        </w:rPr>
        <w:t>一、中国市场监督管理学会</w:t>
      </w:r>
      <w:r>
        <w:rPr>
          <w:rFonts w:hint="eastAsia" w:ascii="Times New Roman" w:hAnsi="Times New Roman" w:eastAsia="仿宋_GB2312" w:cs="仿宋_GB2312"/>
          <w:snapToGrid w:val="0"/>
          <w:color w:val="000000"/>
          <w:sz w:val="32"/>
          <w:szCs w:val="32"/>
          <w:lang w:val="en-US" w:eastAsia="zh-CN"/>
        </w:rPr>
        <w:t>推出“优化消费环境”专栏，围绕完善促进消费制度、强化消费者权益保护、营造良好消费环境等内容开展政策解读。</w:t>
      </w:r>
    </w:p>
    <w:p>
      <w:pPr>
        <w:topLinePunct w:val="0"/>
        <w:adjustRightInd w:val="0"/>
        <w:snapToGrid w:val="0"/>
        <w:spacing w:line="594" w:lineRule="exact"/>
        <w:ind w:firstLine="640"/>
        <w:rPr>
          <w:rFonts w:hint="eastAsia" w:ascii="Times New Roman" w:hAnsi="Times New Roman" w:eastAsia="仿宋_GB2312" w:cs="仿宋_GB2312"/>
          <w:snapToGrid w:val="0"/>
          <w:color w:val="000000"/>
          <w:sz w:val="32"/>
          <w:szCs w:val="24"/>
          <w:lang w:val="en-US" w:eastAsia="zh-CN" w:bidi="ar-SA"/>
        </w:rPr>
      </w:pPr>
      <w:r>
        <w:rPr>
          <w:rFonts w:hint="eastAsia" w:ascii="Times New Roman" w:hAnsi="Times New Roman" w:eastAsia="黑体" w:cs="黑体"/>
          <w:snapToGrid w:val="0"/>
          <w:color w:val="000000"/>
          <w:sz w:val="32"/>
          <w:szCs w:val="32"/>
          <w:lang w:val="en-US" w:eastAsia="zh-CN"/>
        </w:rPr>
        <w:t>二、</w:t>
      </w:r>
      <w:r>
        <w:rPr>
          <w:rFonts w:hint="eastAsia" w:ascii="Times New Roman" w:hAnsi="Times New Roman" w:eastAsia="黑体" w:cs="黑体"/>
          <w:snapToGrid w:val="0"/>
          <w:color w:val="000000"/>
          <w:sz w:val="32"/>
          <w:szCs w:val="32"/>
          <w:lang w:val="en-US" w:eastAsia="uk-UA"/>
        </w:rPr>
        <w:t>中国个体劳动者协会</w:t>
      </w:r>
      <w:r>
        <w:rPr>
          <w:rFonts w:hint="eastAsia" w:ascii="Times New Roman" w:hAnsi="Times New Roman" w:eastAsia="仿宋_GB2312" w:cs="仿宋_GB2312"/>
          <w:snapToGrid w:val="0"/>
          <w:color w:val="000000"/>
          <w:sz w:val="32"/>
          <w:szCs w:val="24"/>
          <w:lang w:val="en-US" w:eastAsia="zh-CN" w:bidi="ar-SA"/>
        </w:rPr>
        <w:t>在会员中</w:t>
      </w:r>
      <w:r>
        <w:rPr>
          <w:rFonts w:hint="eastAsia" w:ascii="Times New Roman" w:hAnsi="Times New Roman" w:eastAsia="仿宋_GB2312" w:cs="仿宋_GB2312"/>
          <w:snapToGrid w:val="0"/>
          <w:color w:val="000000"/>
          <w:sz w:val="32"/>
          <w:szCs w:val="24"/>
          <w:lang w:val="en-US" w:eastAsia="uk-UA" w:bidi="ar-SA"/>
        </w:rPr>
        <w:t>开展《消费者权益保护法》</w:t>
      </w:r>
      <w:r>
        <w:rPr>
          <w:rFonts w:hint="eastAsia" w:ascii="Times New Roman" w:hAnsi="Times New Roman" w:eastAsia="仿宋_GB2312" w:cs="仿宋_GB2312"/>
          <w:snapToGrid w:val="0"/>
          <w:color w:val="000000"/>
          <w:sz w:val="32"/>
          <w:szCs w:val="24"/>
          <w:lang w:val="en-US" w:eastAsia="zh-CN" w:bidi="ar-SA"/>
        </w:rPr>
        <w:t>等法律法规</w:t>
      </w:r>
      <w:r>
        <w:rPr>
          <w:rFonts w:hint="eastAsia" w:ascii="Times New Roman" w:hAnsi="Times New Roman" w:eastAsia="仿宋_GB2312" w:cs="仿宋_GB2312"/>
          <w:snapToGrid w:val="0"/>
          <w:color w:val="000000"/>
          <w:sz w:val="32"/>
          <w:szCs w:val="24"/>
          <w:lang w:val="en-US" w:eastAsia="uk-UA" w:bidi="ar-SA"/>
        </w:rPr>
        <w:t>宣传活动</w:t>
      </w:r>
      <w:r>
        <w:rPr>
          <w:rFonts w:hint="eastAsia" w:ascii="Times New Roman" w:hAnsi="Times New Roman" w:eastAsia="仿宋_GB2312" w:cs="仿宋_GB2312"/>
          <w:snapToGrid w:val="0"/>
          <w:color w:val="000000"/>
          <w:sz w:val="32"/>
          <w:szCs w:val="24"/>
          <w:lang w:val="en-US" w:eastAsia="zh-CN" w:bidi="ar-SA"/>
        </w:rPr>
        <w:t>，并</w:t>
      </w:r>
      <w:r>
        <w:rPr>
          <w:rFonts w:hint="eastAsia" w:ascii="Times New Roman" w:hAnsi="Times New Roman" w:eastAsia="仿宋_GB2312" w:cs="仿宋_GB2312"/>
          <w:snapToGrid w:val="0"/>
          <w:color w:val="000000"/>
          <w:sz w:val="32"/>
          <w:szCs w:val="24"/>
          <w:lang w:val="en-US" w:eastAsia="uk-UA" w:bidi="ar-SA"/>
        </w:rPr>
        <w:t>发</w:t>
      </w:r>
      <w:r>
        <w:rPr>
          <w:rFonts w:hint="eastAsia" w:ascii="Times New Roman" w:hAnsi="Times New Roman" w:eastAsia="仿宋_GB2312" w:cs="仿宋_GB2312"/>
          <w:snapToGrid w:val="0"/>
          <w:color w:val="000000"/>
          <w:sz w:val="32"/>
          <w:szCs w:val="24"/>
          <w:lang w:val="en-US" w:eastAsia="zh-CN" w:bidi="ar-SA"/>
        </w:rPr>
        <w:t>布“</w:t>
      </w:r>
      <w:r>
        <w:rPr>
          <w:rFonts w:hint="eastAsia" w:ascii="Times New Roman" w:hAnsi="Times New Roman" w:eastAsia="仿宋_GB2312" w:cs="仿宋_GB2312"/>
          <w:snapToGrid w:val="0"/>
          <w:color w:val="000000"/>
          <w:sz w:val="32"/>
          <w:szCs w:val="24"/>
          <w:lang w:val="en-US" w:eastAsia="uk-UA" w:bidi="ar-SA"/>
        </w:rPr>
        <w:t>优化消费环境 鼓励放心消费倡议书</w:t>
      </w:r>
      <w:r>
        <w:rPr>
          <w:rFonts w:hint="eastAsia" w:ascii="Times New Roman" w:hAnsi="Times New Roman" w:eastAsia="仿宋_GB2312" w:cs="仿宋_GB2312"/>
          <w:snapToGrid w:val="0"/>
          <w:color w:val="000000"/>
          <w:sz w:val="32"/>
          <w:szCs w:val="24"/>
          <w:lang w:val="en-US" w:eastAsia="zh-CN" w:bidi="ar-SA"/>
        </w:rPr>
        <w:t>”</w:t>
      </w:r>
      <w:r>
        <w:rPr>
          <w:rFonts w:hint="eastAsia" w:eastAsia="仿宋_GB2312" w:cs="仿宋_GB2312"/>
          <w:snapToGrid w:val="0"/>
          <w:color w:val="000000"/>
          <w:sz w:val="32"/>
          <w:szCs w:val="24"/>
          <w:lang w:val="en-US" w:eastAsia="zh-CN" w:bidi="ar-SA"/>
        </w:rPr>
        <w:t>；</w:t>
      </w:r>
      <w:r>
        <w:rPr>
          <w:rFonts w:hint="eastAsia" w:ascii="Times New Roman" w:hAnsi="Times New Roman" w:eastAsia="仿宋_GB2312" w:cs="仿宋_GB2312"/>
          <w:snapToGrid w:val="0"/>
          <w:color w:val="000000"/>
          <w:sz w:val="32"/>
          <w:szCs w:val="24"/>
          <w:lang w:val="en-US" w:eastAsia="zh-CN" w:bidi="ar-SA"/>
        </w:rPr>
        <w:t>在《光彩》杂志上</w:t>
      </w:r>
      <w:r>
        <w:rPr>
          <w:rFonts w:hint="eastAsia" w:ascii="Times New Roman" w:hAnsi="Times New Roman" w:eastAsia="仿宋_GB2312" w:cs="仿宋_GB2312"/>
          <w:snapToGrid w:val="0"/>
          <w:color w:val="000000"/>
          <w:sz w:val="32"/>
          <w:szCs w:val="24"/>
          <w:lang w:val="en-US" w:eastAsia="uk-UA" w:bidi="ar-SA"/>
        </w:rPr>
        <w:t>刊登</w:t>
      </w:r>
      <w:r>
        <w:rPr>
          <w:rFonts w:hint="eastAsia" w:ascii="Times New Roman" w:hAnsi="Times New Roman" w:eastAsia="仿宋_GB2312" w:cs="仿宋_GB2312"/>
          <w:snapToGrid w:val="0"/>
          <w:color w:val="000000"/>
          <w:sz w:val="32"/>
          <w:szCs w:val="24"/>
          <w:lang w:val="en-US" w:eastAsia="zh-CN" w:bidi="ar-SA"/>
        </w:rPr>
        <w:t>优化消费环境</w:t>
      </w:r>
      <w:r>
        <w:rPr>
          <w:rFonts w:hint="eastAsia" w:ascii="Times New Roman" w:hAnsi="Times New Roman" w:eastAsia="仿宋_GB2312" w:cs="仿宋_GB2312"/>
          <w:snapToGrid w:val="0"/>
          <w:color w:val="000000"/>
          <w:sz w:val="32"/>
          <w:szCs w:val="24"/>
          <w:lang w:val="en-US" w:eastAsia="uk-UA" w:bidi="ar-SA"/>
        </w:rPr>
        <w:t>公益广告</w:t>
      </w:r>
      <w:r>
        <w:rPr>
          <w:rFonts w:hint="eastAsia" w:eastAsia="仿宋_GB2312" w:cs="仿宋_GB2312"/>
          <w:snapToGrid w:val="0"/>
          <w:color w:val="000000"/>
          <w:sz w:val="32"/>
          <w:szCs w:val="24"/>
          <w:lang w:val="en-US" w:eastAsia="zh-CN" w:bidi="ar-SA"/>
        </w:rPr>
        <w:t>和地方个私协会</w:t>
      </w:r>
      <w:r>
        <w:rPr>
          <w:rFonts w:hint="eastAsia" w:ascii="Times New Roman" w:hAnsi="Times New Roman" w:eastAsia="仿宋_GB2312" w:cs="仿宋_GB2312"/>
          <w:snapToGrid w:val="0"/>
          <w:color w:val="000000"/>
          <w:sz w:val="32"/>
          <w:szCs w:val="24"/>
          <w:lang w:val="en-US" w:eastAsia="zh-CN" w:bidi="ar-SA"/>
        </w:rPr>
        <w:t>优化消费环境典型案例。</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snapToGrid w:val="0"/>
          <w:color w:val="000000"/>
          <w:sz w:val="32"/>
          <w:szCs w:val="32"/>
          <w:lang w:val="en-US" w:eastAsia="zh-CN"/>
        </w:rPr>
      </w:pPr>
      <w:r>
        <w:rPr>
          <w:rFonts w:hint="eastAsia" w:ascii="Times New Roman" w:hAnsi="Times New Roman" w:eastAsia="黑体" w:cs="黑体"/>
          <w:snapToGrid w:val="0"/>
          <w:color w:val="000000"/>
          <w:sz w:val="32"/>
          <w:szCs w:val="32"/>
          <w:lang w:val="en-US" w:eastAsia="zh-CN"/>
        </w:rPr>
        <w:t>三、中国消费者协会</w:t>
      </w:r>
      <w:r>
        <w:rPr>
          <w:rFonts w:hint="eastAsia" w:ascii="Times New Roman" w:hAnsi="Times New Roman" w:eastAsia="仿宋_GB2312" w:cs="仿宋_GB2312"/>
          <w:snapToGrid w:val="0"/>
          <w:color w:val="000000"/>
          <w:sz w:val="32"/>
          <w:szCs w:val="32"/>
          <w:lang w:val="en-US" w:eastAsia="zh-CN"/>
        </w:rPr>
        <w:t>开展《中国消费者绿色消费指南》宣传活动。通过“甘家口消费大讲堂”“消协有话说”开展系列宣传活动，为消费者提供消费指导和消费维权知识科普。</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snapToGrid w:val="0"/>
          <w:color w:val="000000"/>
          <w:sz w:val="32"/>
          <w:szCs w:val="32"/>
          <w:lang w:val="en-US" w:eastAsia="zh-CN"/>
        </w:rPr>
      </w:pPr>
      <w:r>
        <w:rPr>
          <w:rFonts w:hint="eastAsia" w:ascii="Times New Roman" w:hAnsi="Times New Roman" w:eastAsia="黑体" w:cs="黑体"/>
          <w:snapToGrid w:val="0"/>
          <w:color w:val="000000"/>
          <w:sz w:val="32"/>
          <w:szCs w:val="32"/>
          <w:lang w:val="en-US" w:eastAsia="zh-CN"/>
        </w:rPr>
        <w:t>四、中国质量万里行促进会</w:t>
      </w:r>
      <w:r>
        <w:rPr>
          <w:rFonts w:hint="eastAsia" w:ascii="Times New Roman" w:hAnsi="Times New Roman" w:eastAsia="仿宋_GB2312" w:cs="仿宋_GB2312"/>
          <w:snapToGrid w:val="0"/>
          <w:color w:val="000000"/>
          <w:sz w:val="32"/>
          <w:szCs w:val="32"/>
          <w:lang w:val="en-US" w:eastAsia="zh-CN"/>
        </w:rPr>
        <w:t>举办“守护银发消费”专题研讨会，发布守护银发消费典型案例。开展消费领域质量提升与行业自律倡议活动和消费维权普法系列宣传活动。</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snapToGrid w:val="0"/>
          <w:color w:val="000000"/>
          <w:sz w:val="32"/>
          <w:szCs w:val="32"/>
          <w:lang w:val="en-US" w:eastAsia="zh-CN"/>
        </w:rPr>
      </w:pPr>
      <w:r>
        <w:rPr>
          <w:rFonts w:hint="eastAsia" w:ascii="Times New Roman" w:hAnsi="Times New Roman" w:eastAsia="黑体" w:cs="黑体"/>
          <w:snapToGrid w:val="0"/>
          <w:color w:val="000000"/>
          <w:sz w:val="32"/>
          <w:szCs w:val="32"/>
          <w:lang w:val="en-US" w:eastAsia="zh-CN"/>
        </w:rPr>
        <w:t>五、中国品牌建设促进会</w:t>
      </w:r>
      <w:r>
        <w:rPr>
          <w:rFonts w:hint="eastAsia" w:ascii="Times New Roman" w:hAnsi="Times New Roman" w:eastAsia="仿宋_GB2312" w:cs="仿宋_GB2312"/>
          <w:snapToGrid w:val="0"/>
          <w:color w:val="000000"/>
          <w:sz w:val="32"/>
          <w:szCs w:val="32"/>
          <w:lang w:val="en-US" w:eastAsia="zh-CN"/>
        </w:rPr>
        <w:t>开展“品牌护航·放心消费”法治同行普法宣传活动。</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snapToGrid w:val="0"/>
          <w:color w:val="000000"/>
          <w:sz w:val="32"/>
          <w:szCs w:val="32"/>
          <w:lang w:val="en-US" w:eastAsia="zh-CN"/>
        </w:rPr>
      </w:pPr>
      <w:r>
        <w:rPr>
          <w:rFonts w:hint="eastAsia" w:ascii="Times New Roman" w:hAnsi="Times New Roman" w:eastAsia="黑体" w:cs="黑体"/>
          <w:snapToGrid w:val="0"/>
          <w:color w:val="000000"/>
          <w:sz w:val="32"/>
          <w:szCs w:val="32"/>
          <w:lang w:val="en-US" w:eastAsia="zh-CN"/>
        </w:rPr>
        <w:t>六、中国消费品质量安全促进会</w:t>
      </w:r>
      <w:r>
        <w:rPr>
          <w:rFonts w:hint="eastAsia" w:ascii="Times New Roman" w:hAnsi="Times New Roman" w:eastAsia="仿宋_GB2312" w:cs="仿宋_GB2312"/>
          <w:snapToGrid w:val="0"/>
          <w:color w:val="000000"/>
          <w:sz w:val="32"/>
          <w:szCs w:val="32"/>
          <w:lang w:val="en-US" w:eastAsia="zh-CN"/>
        </w:rPr>
        <w:t>开展“探</w:t>
      </w:r>
      <w:bookmarkStart w:id="0" w:name="_GoBack"/>
      <w:bookmarkEnd w:id="0"/>
      <w:r>
        <w:rPr>
          <w:rFonts w:hint="eastAsia" w:ascii="Times New Roman" w:hAnsi="Times New Roman" w:eastAsia="仿宋_GB2312" w:cs="仿宋_GB2312"/>
          <w:snapToGrid w:val="0"/>
          <w:color w:val="000000"/>
          <w:sz w:val="32"/>
          <w:szCs w:val="32"/>
          <w:lang w:val="en-US" w:eastAsia="zh-CN"/>
        </w:rPr>
        <w:t>访中国‘质’造大厂系列行”活动，发布“优化消费环境月”专辑。</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snapToGrid w:val="0"/>
          <w:color w:val="000000"/>
          <w:sz w:val="32"/>
          <w:szCs w:val="32"/>
          <w:lang w:val="en-US" w:eastAsia="zh-CN"/>
        </w:rPr>
      </w:pPr>
      <w:r>
        <w:rPr>
          <w:rFonts w:hint="eastAsia" w:ascii="Times New Roman" w:hAnsi="Times New Roman" w:eastAsia="黑体" w:cs="黑体"/>
          <w:snapToGrid w:val="0"/>
          <w:color w:val="000000"/>
          <w:sz w:val="32"/>
          <w:szCs w:val="32"/>
          <w:lang w:val="en-US" w:eastAsia="zh-CN"/>
        </w:rPr>
        <w:t>七、中国商业联合会</w:t>
      </w:r>
      <w:r>
        <w:rPr>
          <w:rFonts w:hint="eastAsia" w:ascii="Times New Roman" w:hAnsi="Times New Roman" w:eastAsia="仿宋_GB2312" w:cs="仿宋_GB2312"/>
          <w:snapToGrid w:val="0"/>
          <w:color w:val="000000"/>
          <w:sz w:val="32"/>
          <w:szCs w:val="32"/>
          <w:lang w:val="en-US" w:eastAsia="zh-CN"/>
        </w:rPr>
        <w:t>举办第十一届生活服务业大会。</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snapToGrid w:val="0"/>
          <w:color w:val="000000"/>
          <w:sz w:val="32"/>
          <w:szCs w:val="32"/>
          <w:lang w:val="en-US" w:eastAsia="zh-CN"/>
        </w:rPr>
      </w:pPr>
      <w:r>
        <w:rPr>
          <w:rFonts w:hint="eastAsia" w:ascii="Times New Roman" w:hAnsi="Times New Roman" w:eastAsia="黑体" w:cs="黑体"/>
          <w:snapToGrid w:val="0"/>
          <w:color w:val="000000"/>
          <w:sz w:val="32"/>
          <w:szCs w:val="32"/>
          <w:lang w:val="en-US" w:eastAsia="zh-CN"/>
        </w:rPr>
        <w:t>八、中国质量协会</w:t>
      </w:r>
      <w:r>
        <w:rPr>
          <w:rFonts w:hint="eastAsia" w:ascii="Times New Roman" w:hAnsi="Times New Roman" w:eastAsia="仿宋_GB2312" w:cs="仿宋_GB2312"/>
          <w:snapToGrid w:val="0"/>
          <w:color w:val="000000"/>
          <w:sz w:val="32"/>
          <w:szCs w:val="32"/>
          <w:lang w:val="en-US" w:eastAsia="zh-CN"/>
        </w:rPr>
        <w:t>举办“智质共生 服务深耕</w:t>
      </w:r>
      <w:r>
        <w:rPr>
          <w:rFonts w:hint="eastAsia" w:cs="仿宋_GB2312"/>
          <w:snapToGrid w:val="0"/>
          <w:color w:val="000000"/>
          <w:sz w:val="32"/>
          <w:szCs w:val="32"/>
          <w:lang w:val="en-US" w:eastAsia="zh-CN"/>
        </w:rPr>
        <w:t>—</w:t>
      </w:r>
      <w:r>
        <w:rPr>
          <w:rFonts w:hint="eastAsia" w:ascii="Times New Roman" w:hAnsi="Times New Roman" w:eastAsia="仿宋_GB2312" w:cs="仿宋_GB2312"/>
          <w:snapToGrid w:val="0"/>
          <w:color w:val="000000"/>
          <w:sz w:val="32"/>
          <w:szCs w:val="32"/>
          <w:lang w:val="en-US" w:eastAsia="zh-CN"/>
        </w:rPr>
        <w:t>共创家电消费新生态”论坛。开展用户满意等级评价和市场质量信用等级评价。发布2026年消费质量信任指数（CQTI）、质量消费体验指数（QCEI）、数字经济服务质量满意度指数（DES-CSI）。</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snapToGrid w:val="0"/>
          <w:color w:val="000000"/>
          <w:sz w:val="32"/>
          <w:szCs w:val="32"/>
          <w:lang w:val="en-US" w:eastAsia="zh-CN"/>
        </w:rPr>
      </w:pPr>
      <w:r>
        <w:rPr>
          <w:rFonts w:hint="eastAsia" w:ascii="Times New Roman" w:hAnsi="Times New Roman" w:eastAsia="黑体" w:cs="黑体"/>
          <w:snapToGrid w:val="0"/>
          <w:color w:val="000000"/>
          <w:sz w:val="32"/>
          <w:szCs w:val="32"/>
          <w:lang w:val="en-US" w:eastAsia="zh-CN"/>
        </w:rPr>
        <w:t>九、中国互联网协会</w:t>
      </w:r>
      <w:r>
        <w:rPr>
          <w:rFonts w:hint="eastAsia" w:ascii="Times New Roman" w:hAnsi="Times New Roman" w:eastAsia="仿宋_GB2312" w:cs="仿宋_GB2312"/>
          <w:snapToGrid w:val="0"/>
          <w:color w:val="000000"/>
          <w:sz w:val="32"/>
          <w:szCs w:val="32"/>
          <w:lang w:val="en-US" w:eastAsia="zh-CN"/>
        </w:rPr>
        <w:t>依托“12321受理中心”官方公众号等相关媒体开展“优化消费环境月”专题宣传活动。</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snapToGrid w:val="0"/>
          <w:color w:val="000000"/>
          <w:sz w:val="32"/>
          <w:szCs w:val="32"/>
          <w:lang w:val="en-US" w:eastAsia="zh-CN"/>
        </w:rPr>
      </w:pPr>
      <w:r>
        <w:rPr>
          <w:rFonts w:hint="eastAsia" w:ascii="Times New Roman" w:hAnsi="Times New Roman" w:eastAsia="黑体" w:cs="黑体"/>
          <w:snapToGrid w:val="0"/>
          <w:color w:val="000000"/>
          <w:sz w:val="32"/>
          <w:szCs w:val="32"/>
          <w:lang w:val="en-US" w:eastAsia="zh-CN"/>
        </w:rPr>
        <w:t>十、中国酒业协会</w:t>
      </w:r>
      <w:r>
        <w:rPr>
          <w:rFonts w:hint="eastAsia" w:ascii="Times New Roman" w:hAnsi="Times New Roman" w:eastAsia="仿宋_GB2312" w:cs="仿宋_GB2312"/>
          <w:snapToGrid w:val="0"/>
          <w:color w:val="000000"/>
          <w:sz w:val="32"/>
          <w:szCs w:val="32"/>
          <w:lang w:val="en-US" w:eastAsia="zh-CN"/>
        </w:rPr>
        <w:t>举办2026中国国际黄酒产业博览会，聚焦黄酒产业消费升级，打造沉浸式经济消费场景。</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snapToGrid w:val="0"/>
          <w:color w:val="000000"/>
          <w:sz w:val="32"/>
          <w:szCs w:val="32"/>
          <w:lang w:val="en-US" w:eastAsia="zh-CN"/>
        </w:rPr>
      </w:pPr>
      <w:r>
        <w:rPr>
          <w:rFonts w:hint="eastAsia" w:ascii="Times New Roman" w:hAnsi="Times New Roman" w:eastAsia="黑体" w:cs="黑体"/>
          <w:snapToGrid w:val="0"/>
          <w:color w:val="000000"/>
          <w:sz w:val="32"/>
          <w:szCs w:val="32"/>
          <w:lang w:val="en-US" w:eastAsia="zh-CN"/>
        </w:rPr>
        <w:t>十一、中国烹饪协会</w:t>
      </w:r>
      <w:r>
        <w:rPr>
          <w:rFonts w:hint="eastAsia" w:ascii="Times New Roman" w:hAnsi="Times New Roman" w:eastAsia="仿宋_GB2312" w:cs="仿宋_GB2312"/>
          <w:snapToGrid w:val="0"/>
          <w:color w:val="000000"/>
          <w:sz w:val="32"/>
          <w:szCs w:val="32"/>
          <w:lang w:val="en-US" w:eastAsia="zh-CN"/>
        </w:rPr>
        <w:t>召开2026年餐饮业食品安全创新治理推进会，开设“2026年餐饮业食品安全创新实践推广”专栏。</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snapToGrid w:val="0"/>
          <w:color w:val="000000"/>
          <w:sz w:val="32"/>
          <w:szCs w:val="32"/>
          <w:lang w:val="en-US" w:eastAsia="zh-CN"/>
        </w:rPr>
      </w:pPr>
      <w:r>
        <w:rPr>
          <w:rFonts w:hint="eastAsia" w:ascii="Times New Roman" w:hAnsi="Times New Roman" w:eastAsia="黑体" w:cs="黑体"/>
          <w:snapToGrid w:val="0"/>
          <w:color w:val="000000"/>
          <w:sz w:val="32"/>
          <w:szCs w:val="32"/>
          <w:lang w:val="en-US" w:eastAsia="zh-CN"/>
        </w:rPr>
        <w:t>十二、中国商业企业管理协会钟表商业企业管理委员会</w:t>
      </w:r>
      <w:r>
        <w:rPr>
          <w:rFonts w:hint="eastAsia" w:ascii="Times New Roman" w:hAnsi="Times New Roman" w:eastAsia="仿宋_GB2312" w:cs="仿宋_GB2312"/>
          <w:snapToGrid w:val="0"/>
          <w:color w:val="000000"/>
          <w:sz w:val="32"/>
          <w:szCs w:val="32"/>
          <w:lang w:val="en-US" w:eastAsia="zh-CN"/>
        </w:rPr>
        <w:t>开展钟表“查验宝”信息收集及推广活动。</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snapToGrid w:val="0"/>
          <w:color w:val="000000"/>
          <w:sz w:val="32"/>
          <w:szCs w:val="32"/>
          <w:lang w:val="en-US" w:eastAsia="zh-CN"/>
        </w:rPr>
      </w:pPr>
    </w:p>
    <w:p/>
    <w:sectPr>
      <w:footerReference r:id="rId5" w:type="default"/>
      <w:pgSz w:w="11906" w:h="16838"/>
      <w:pgMar w:top="1984" w:right="1474" w:bottom="1644" w:left="1474" w:header="851" w:footer="992"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A8664B"/>
    <w:rsid w:val="37533556"/>
    <w:rsid w:val="3BA8664B"/>
    <w:rsid w:val="512A6EA2"/>
    <w:rsid w:val="782874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topLinePunct/>
      <w:spacing w:line="240" w:lineRule="auto"/>
      <w:jc w:val="both"/>
    </w:pPr>
    <w:rPr>
      <w:rFonts w:ascii="Times New Roman" w:hAnsi="Times New Roman" w:eastAsia="仿宋_GB2312" w:cs="Times New Roman"/>
      <w:spacing w:val="0"/>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2026-10-16T01:17:00Z</dcterms:created>
  <dc:creator>消保处</dc:creator>
  <cp:lastModifiedBy>消保处</cp:lastModifiedBy>
  <dcterms:modified xsi:type="dcterms:W3CDTF">2026-10-16T01:29:48Z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