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widowControl w:val="0"/>
        <w:adjustRightInd/>
        <w:snapToGrid w:val="0"/>
        <w:spacing w:before="0" w:after="0" w:line="240" w:lineRule="auto"/>
        <w:ind w:firstLine="0" w:firstLineChars="0"/>
        <w:rPr>
          <w:rFonts w:ascii="Times New Roman" w:hAnsi="Times New Roman" w:eastAsia="仿宋_GB2312"/>
          <w:kern w:val="2"/>
          <w:sz w:val="44"/>
          <w:szCs w:val="32"/>
          <w:lang w:eastAsia="zh-CN"/>
        </w:rPr>
      </w:pPr>
      <w:r>
        <w:rPr>
          <w:rFonts w:hint="eastAsia" w:ascii="Times New Roman" w:hAnsi="Times New Roman" w:eastAsia="仿宋_GB2312"/>
          <w:kern w:val="2"/>
          <w:sz w:val="44"/>
          <w:szCs w:val="32"/>
          <w:lang w:eastAsia="zh-CN"/>
        </w:rPr>
        <w:t>关于新思科技公司收购安似科技公司股权案的</w:t>
      </w:r>
    </w:p>
    <w:p>
      <w:pPr>
        <w:pStyle w:val="44"/>
        <w:widowControl w:val="0"/>
        <w:adjustRightInd/>
        <w:snapToGrid w:val="0"/>
        <w:spacing w:before="0" w:after="0" w:line="240" w:lineRule="auto"/>
        <w:ind w:firstLine="0" w:firstLineChars="0"/>
        <w:rPr>
          <w:rFonts w:ascii="Times New Roman" w:hAnsi="Times New Roman" w:eastAsia="仿宋_GB2312"/>
          <w:kern w:val="2"/>
          <w:sz w:val="44"/>
          <w:szCs w:val="32"/>
          <w:lang w:eastAsia="zh-CN"/>
        </w:rPr>
      </w:pPr>
      <w:r>
        <w:rPr>
          <w:rFonts w:hint="eastAsia" w:ascii="Times New Roman" w:hAnsi="Times New Roman" w:eastAsia="仿宋_GB2312"/>
          <w:kern w:val="2"/>
          <w:sz w:val="44"/>
          <w:szCs w:val="32"/>
          <w:lang w:eastAsia="zh-CN"/>
        </w:rPr>
        <w:t>附加限制性条件承诺方案</w:t>
      </w:r>
    </w:p>
    <w:p>
      <w:pPr>
        <w:shd w:val="clear" w:color="auto" w:fill="FFFFFF"/>
        <w:tabs>
          <w:tab w:val="left" w:pos="5103"/>
        </w:tabs>
        <w:autoSpaceDE/>
        <w:autoSpaceDN/>
        <w:adjustRightInd/>
        <w:rPr>
          <w:rFonts w:eastAsia="仿宋_GB2312"/>
          <w:szCs w:val="24"/>
          <w:lang w:eastAsia="zh-CN"/>
        </w:rPr>
      </w:pPr>
      <w:bookmarkStart w:id="1" w:name="_GoBack"/>
      <w:bookmarkEnd w:id="1"/>
    </w:p>
    <w:p>
      <w:pPr>
        <w:shd w:val="clear" w:color="auto" w:fill="FFFFFF"/>
        <w:tabs>
          <w:tab w:val="left" w:pos="5103"/>
        </w:tabs>
        <w:autoSpaceDE/>
        <w:autoSpaceDN/>
        <w:adjustRightInd/>
        <w:rPr>
          <w:rFonts w:eastAsia="仿宋_GB2312"/>
          <w:szCs w:val="24"/>
          <w:lang w:eastAsia="zh-CN"/>
        </w:rPr>
      </w:pPr>
    </w:p>
    <w:p>
      <w:pPr>
        <w:widowControl w:val="0"/>
        <w:autoSpaceDE/>
        <w:autoSpaceDN/>
        <w:adjustRightInd/>
        <w:spacing w:after="120" w:line="360" w:lineRule="auto"/>
        <w:ind w:firstLine="640" w:firstLineChars="200"/>
        <w:rPr>
          <w:rFonts w:eastAsia="仿宋_GB2312"/>
          <w:kern w:val="2"/>
          <w:sz w:val="32"/>
          <w:szCs w:val="32"/>
          <w:lang w:eastAsia="zh-CN"/>
        </w:rPr>
      </w:pPr>
      <w:r>
        <w:rPr>
          <w:rFonts w:eastAsia="仿宋_GB2312"/>
          <w:kern w:val="2"/>
          <w:sz w:val="32"/>
          <w:szCs w:val="32"/>
          <w:lang w:eastAsia="zh-CN"/>
        </w:rPr>
        <w:t>根据《中华人民共和国反垄断法》《经营者集中审查规定》和其他相关法律法规</w:t>
      </w:r>
      <w:r>
        <w:rPr>
          <w:rFonts w:hint="eastAsia" w:eastAsia="仿宋_GB2312"/>
          <w:kern w:val="2"/>
          <w:sz w:val="32"/>
          <w:szCs w:val="32"/>
          <w:lang w:eastAsia="zh-CN"/>
        </w:rPr>
        <w:t>，新思科技</w:t>
      </w:r>
      <w:r>
        <w:rPr>
          <w:rFonts w:eastAsia="仿宋_GB2312"/>
          <w:kern w:val="2"/>
          <w:sz w:val="32"/>
          <w:szCs w:val="32"/>
          <w:lang w:eastAsia="zh-CN"/>
        </w:rPr>
        <w:t>公司（以下简称</w:t>
      </w:r>
      <w:r>
        <w:rPr>
          <w:rFonts w:hint="eastAsia" w:eastAsia="仿宋_GB2312"/>
          <w:kern w:val="2"/>
          <w:sz w:val="32"/>
          <w:szCs w:val="32"/>
          <w:lang w:eastAsia="zh-CN"/>
        </w:rPr>
        <w:t>新思科技</w:t>
      </w:r>
      <w:r>
        <w:rPr>
          <w:rFonts w:eastAsia="仿宋_GB2312"/>
          <w:kern w:val="2"/>
          <w:sz w:val="32"/>
          <w:szCs w:val="32"/>
          <w:lang w:eastAsia="zh-CN"/>
        </w:rPr>
        <w:t>）与</w:t>
      </w:r>
      <w:r>
        <w:rPr>
          <w:rFonts w:hint="eastAsia" w:eastAsia="仿宋_GB2312"/>
          <w:kern w:val="2"/>
          <w:sz w:val="32"/>
          <w:szCs w:val="32"/>
          <w:lang w:eastAsia="zh-CN"/>
        </w:rPr>
        <w:t>安似科技</w:t>
      </w:r>
      <w:r>
        <w:rPr>
          <w:rFonts w:eastAsia="仿宋_GB2312"/>
          <w:kern w:val="2"/>
          <w:sz w:val="32"/>
          <w:szCs w:val="32"/>
          <w:lang w:eastAsia="zh-CN"/>
        </w:rPr>
        <w:t>公司（以下简称</w:t>
      </w:r>
      <w:r>
        <w:rPr>
          <w:rFonts w:hint="eastAsia" w:eastAsia="仿宋_GB2312"/>
          <w:kern w:val="2"/>
          <w:sz w:val="32"/>
          <w:szCs w:val="32"/>
          <w:lang w:eastAsia="zh-CN"/>
        </w:rPr>
        <w:t>安似科技</w:t>
      </w:r>
      <w:r>
        <w:rPr>
          <w:rFonts w:eastAsia="仿宋_GB2312"/>
          <w:kern w:val="2"/>
          <w:sz w:val="32"/>
          <w:szCs w:val="32"/>
          <w:lang w:eastAsia="zh-CN"/>
        </w:rPr>
        <w:t>，与</w:t>
      </w:r>
      <w:r>
        <w:rPr>
          <w:rFonts w:hint="eastAsia" w:eastAsia="仿宋_GB2312"/>
          <w:kern w:val="2"/>
          <w:sz w:val="32"/>
          <w:szCs w:val="32"/>
          <w:lang w:eastAsia="zh-CN"/>
        </w:rPr>
        <w:t>新思科技</w:t>
      </w:r>
      <w:r>
        <w:rPr>
          <w:rFonts w:eastAsia="仿宋_GB2312"/>
          <w:kern w:val="2"/>
          <w:sz w:val="32"/>
          <w:szCs w:val="32"/>
          <w:lang w:eastAsia="zh-CN"/>
        </w:rPr>
        <w:t>合称交易双方）谨就</w:t>
      </w:r>
      <w:r>
        <w:rPr>
          <w:rFonts w:hint="eastAsia" w:eastAsia="仿宋_GB2312"/>
          <w:kern w:val="2"/>
          <w:sz w:val="32"/>
          <w:szCs w:val="32"/>
          <w:lang w:eastAsia="zh-CN"/>
        </w:rPr>
        <w:t>新思科技</w:t>
      </w:r>
      <w:r>
        <w:rPr>
          <w:rFonts w:eastAsia="仿宋_GB2312"/>
          <w:kern w:val="2"/>
          <w:sz w:val="32"/>
          <w:szCs w:val="32"/>
          <w:lang w:eastAsia="zh-CN"/>
        </w:rPr>
        <w:t>收购</w:t>
      </w:r>
      <w:r>
        <w:rPr>
          <w:rFonts w:hint="eastAsia" w:eastAsia="仿宋_GB2312"/>
          <w:kern w:val="2"/>
          <w:sz w:val="32"/>
          <w:szCs w:val="32"/>
          <w:lang w:eastAsia="zh-CN"/>
        </w:rPr>
        <w:t>安似科技</w:t>
      </w:r>
      <w:r>
        <w:rPr>
          <w:rFonts w:eastAsia="仿宋_GB2312"/>
          <w:kern w:val="2"/>
          <w:sz w:val="32"/>
          <w:szCs w:val="32"/>
          <w:lang w:eastAsia="zh-CN"/>
        </w:rPr>
        <w:t>股权案</w:t>
      </w:r>
      <w:r>
        <w:rPr>
          <w:rFonts w:hint="eastAsia" w:eastAsia="仿宋_GB2312"/>
          <w:kern w:val="2"/>
          <w:sz w:val="32"/>
          <w:szCs w:val="32"/>
          <w:lang w:eastAsia="zh-CN"/>
        </w:rPr>
        <w:t>（以下简称本交易）</w:t>
      </w:r>
      <w:r>
        <w:rPr>
          <w:rFonts w:eastAsia="仿宋_GB2312"/>
          <w:kern w:val="2"/>
          <w:sz w:val="32"/>
          <w:szCs w:val="32"/>
          <w:lang w:eastAsia="zh-CN"/>
        </w:rPr>
        <w:t>向国家市场监督管理总局（以下简称市场监管总局）提交以下附加限制性条件的承诺方案（以下简称</w:t>
      </w:r>
      <w:r>
        <w:rPr>
          <w:rFonts w:hint="eastAsia" w:eastAsia="仿宋_GB2312"/>
          <w:kern w:val="2"/>
          <w:sz w:val="32"/>
          <w:szCs w:val="32"/>
          <w:lang w:eastAsia="zh-CN"/>
        </w:rPr>
        <w:t>承诺方案</w:t>
      </w:r>
      <w:r>
        <w:rPr>
          <w:rFonts w:eastAsia="仿宋_GB2312"/>
          <w:kern w:val="2"/>
          <w:sz w:val="32"/>
          <w:szCs w:val="32"/>
          <w:lang w:eastAsia="zh-CN"/>
        </w:rPr>
        <w:t>）。</w:t>
      </w:r>
    </w:p>
    <w:p>
      <w:pPr>
        <w:shd w:val="clear" w:color="auto" w:fill="FFFFFF"/>
        <w:autoSpaceDE/>
        <w:autoSpaceDN/>
        <w:adjustRightInd/>
        <w:rPr>
          <w:rFonts w:eastAsia="仿宋_GB2312"/>
          <w:b/>
          <w:szCs w:val="24"/>
          <w:lang w:eastAsia="zh-CN"/>
        </w:rPr>
      </w:pPr>
    </w:p>
    <w:p>
      <w:pPr>
        <w:autoSpaceDE/>
        <w:autoSpaceDN/>
        <w:adjustRightInd/>
        <w:spacing w:after="120" w:line="360" w:lineRule="auto"/>
        <w:jc w:val="center"/>
        <w:rPr>
          <w:rFonts w:eastAsia="仿宋_GB2312"/>
          <w:b/>
          <w:kern w:val="2"/>
          <w:sz w:val="32"/>
          <w:szCs w:val="32"/>
          <w:lang w:eastAsia="zh-CN"/>
        </w:rPr>
      </w:pPr>
      <w:r>
        <w:rPr>
          <w:rFonts w:hint="eastAsia" w:eastAsia="仿宋_GB2312"/>
          <w:b/>
          <w:kern w:val="2"/>
          <w:sz w:val="32"/>
          <w:szCs w:val="32"/>
          <w:lang w:eastAsia="zh-CN"/>
        </w:rPr>
        <w:t>第一部分 定义</w:t>
      </w:r>
    </w:p>
    <w:p>
      <w:pPr>
        <w:widowControl w:val="0"/>
        <w:autoSpaceDE/>
        <w:autoSpaceDN/>
        <w:adjustRightInd/>
        <w:spacing w:after="120" w:line="360" w:lineRule="auto"/>
        <w:ind w:firstLine="640" w:firstLineChars="200"/>
        <w:rPr>
          <w:rFonts w:eastAsia="仿宋_GB2312"/>
          <w:kern w:val="2"/>
          <w:sz w:val="32"/>
          <w:szCs w:val="32"/>
          <w:lang w:eastAsia="zh-CN"/>
        </w:rPr>
      </w:pPr>
      <w:r>
        <w:rPr>
          <w:rFonts w:hint="eastAsia" w:eastAsia="仿宋_GB2312"/>
          <w:kern w:val="2"/>
          <w:sz w:val="32"/>
          <w:szCs w:val="32"/>
          <w:lang w:eastAsia="zh-CN"/>
        </w:rPr>
        <w:t>就本承诺方案而言，以下术语定义如下：</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新思科技</w:t>
      </w:r>
      <w:r>
        <w:rPr>
          <w:rFonts w:eastAsia="仿宋_GB2312"/>
          <w:bCs/>
          <w:sz w:val="32"/>
          <w:szCs w:val="32"/>
          <w:lang w:eastAsia="zh-CN"/>
        </w:rPr>
        <w:t>：</w:t>
      </w:r>
      <w:r>
        <w:rPr>
          <w:rFonts w:hint="eastAsia" w:eastAsia="仿宋_GB2312"/>
          <w:bCs/>
          <w:sz w:val="32"/>
          <w:szCs w:val="32"/>
          <w:lang w:eastAsia="zh-CN"/>
        </w:rPr>
        <w:t>新思科技</w:t>
      </w:r>
      <w:r>
        <w:rPr>
          <w:rFonts w:eastAsia="仿宋_GB2312"/>
          <w:bCs/>
          <w:sz w:val="32"/>
          <w:szCs w:val="32"/>
          <w:lang w:eastAsia="zh-CN"/>
        </w:rPr>
        <w:t>公司</w:t>
      </w:r>
      <w:r>
        <w:rPr>
          <w:rFonts w:hint="eastAsia" w:eastAsia="仿宋_GB2312"/>
          <w:bCs/>
          <w:sz w:val="32"/>
          <w:szCs w:val="32"/>
          <w:lang w:eastAsia="zh-CN"/>
        </w:rPr>
        <w:t>，</w:t>
      </w:r>
      <w:r>
        <w:rPr>
          <w:rFonts w:eastAsia="仿宋_GB2312"/>
          <w:bCs/>
          <w:sz w:val="32"/>
          <w:szCs w:val="32"/>
          <w:lang w:eastAsia="zh-CN"/>
        </w:rPr>
        <w:t>一家根据美国特拉华州法律成立的公司，注册地址位于</w:t>
      </w:r>
      <w:r>
        <w:rPr>
          <w:rFonts w:hint="eastAsia" w:eastAsia="仿宋_GB2312"/>
          <w:bCs/>
          <w:sz w:val="32"/>
          <w:szCs w:val="32"/>
          <w:lang w:eastAsia="zh-CN"/>
        </w:rPr>
        <w:t>美国加利福尼亚州森尼韦尔</w:t>
      </w:r>
      <w:r>
        <w:rPr>
          <w:rFonts w:eastAsia="仿宋_GB2312"/>
          <w:bCs/>
          <w:sz w:val="32"/>
          <w:szCs w:val="32"/>
          <w:lang w:eastAsia="zh-CN"/>
        </w:rPr>
        <w:t>Almanor</w:t>
      </w:r>
      <w:r>
        <w:rPr>
          <w:rFonts w:hint="eastAsia" w:eastAsia="仿宋_GB2312"/>
          <w:bCs/>
          <w:sz w:val="32"/>
          <w:szCs w:val="32"/>
          <w:lang w:eastAsia="zh-CN"/>
        </w:rPr>
        <w:t>大道</w:t>
      </w:r>
      <w:r>
        <w:rPr>
          <w:rFonts w:eastAsia="仿宋_GB2312"/>
          <w:bCs/>
          <w:sz w:val="32"/>
          <w:szCs w:val="32"/>
          <w:lang w:eastAsia="zh-CN"/>
        </w:rPr>
        <w:t>675</w:t>
      </w:r>
      <w:r>
        <w:rPr>
          <w:rFonts w:hint="eastAsia" w:eastAsia="仿宋_GB2312"/>
          <w:bCs/>
          <w:sz w:val="32"/>
          <w:szCs w:val="32"/>
          <w:lang w:eastAsia="zh-CN"/>
        </w:rPr>
        <w:t>号，邮编</w:t>
      </w:r>
      <w:r>
        <w:rPr>
          <w:rFonts w:eastAsia="仿宋_GB2312"/>
          <w:bCs/>
          <w:sz w:val="32"/>
          <w:szCs w:val="32"/>
          <w:lang w:eastAsia="zh-CN"/>
        </w:rPr>
        <w:t>94085</w:t>
      </w:r>
      <w:r>
        <w:rPr>
          <w:rFonts w:hint="eastAsia" w:eastAsia="仿宋_GB2312"/>
          <w:bCs/>
          <w:sz w:val="32"/>
          <w:szCs w:val="32"/>
          <w:lang w:eastAsia="zh-CN"/>
        </w:rPr>
        <w:t>。</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安似科技</w:t>
      </w:r>
      <w:r>
        <w:rPr>
          <w:rFonts w:eastAsia="仿宋_GB2312"/>
          <w:bCs/>
          <w:sz w:val="32"/>
          <w:szCs w:val="32"/>
          <w:lang w:eastAsia="zh-CN"/>
        </w:rPr>
        <w:t>：</w:t>
      </w:r>
      <w:r>
        <w:rPr>
          <w:rFonts w:hint="eastAsia" w:eastAsia="仿宋_GB2312"/>
          <w:bCs/>
          <w:sz w:val="32"/>
          <w:szCs w:val="32"/>
          <w:lang w:eastAsia="zh-CN"/>
        </w:rPr>
        <w:t>安似科技</w:t>
      </w:r>
      <w:r>
        <w:rPr>
          <w:rFonts w:eastAsia="仿宋_GB2312"/>
          <w:bCs/>
          <w:sz w:val="32"/>
          <w:szCs w:val="32"/>
          <w:lang w:eastAsia="zh-CN"/>
        </w:rPr>
        <w:t>公司</w:t>
      </w:r>
      <w:r>
        <w:rPr>
          <w:rFonts w:hint="eastAsia" w:eastAsia="仿宋_GB2312"/>
          <w:bCs/>
          <w:sz w:val="32"/>
          <w:szCs w:val="32"/>
          <w:lang w:eastAsia="zh-CN"/>
        </w:rPr>
        <w:t>，</w:t>
      </w:r>
      <w:r>
        <w:rPr>
          <w:rFonts w:eastAsia="仿宋_GB2312"/>
          <w:bCs/>
          <w:sz w:val="32"/>
          <w:szCs w:val="32"/>
          <w:lang w:eastAsia="zh-CN"/>
        </w:rPr>
        <w:t>一家根据美国特拉华州法律成立的公司，注册地址位于</w:t>
      </w:r>
      <w:r>
        <w:rPr>
          <w:rFonts w:hint="eastAsia" w:eastAsia="仿宋_GB2312"/>
          <w:bCs/>
          <w:sz w:val="32"/>
          <w:szCs w:val="32"/>
          <w:lang w:eastAsia="zh-CN"/>
        </w:rPr>
        <w:t>美国宾夕法尼亚州卡农斯堡市</w:t>
      </w:r>
      <w:r>
        <w:rPr>
          <w:rFonts w:eastAsia="仿宋_GB2312"/>
          <w:bCs/>
          <w:sz w:val="32"/>
          <w:szCs w:val="32"/>
          <w:lang w:eastAsia="zh-CN"/>
        </w:rPr>
        <w:t>ANSYS</w:t>
      </w:r>
      <w:r>
        <w:rPr>
          <w:rFonts w:hint="eastAsia" w:eastAsia="仿宋_GB2312"/>
          <w:bCs/>
          <w:sz w:val="32"/>
          <w:szCs w:val="32"/>
          <w:lang w:eastAsia="zh-CN"/>
        </w:rPr>
        <w:t>大道</w:t>
      </w:r>
      <w:r>
        <w:rPr>
          <w:rFonts w:eastAsia="仿宋_GB2312"/>
          <w:bCs/>
          <w:sz w:val="32"/>
          <w:szCs w:val="32"/>
          <w:lang w:eastAsia="zh-CN"/>
        </w:rPr>
        <w:t>2600</w:t>
      </w:r>
      <w:r>
        <w:rPr>
          <w:rFonts w:hint="eastAsia" w:eastAsia="仿宋_GB2312"/>
          <w:bCs/>
          <w:sz w:val="32"/>
          <w:szCs w:val="32"/>
          <w:lang w:eastAsia="zh-CN"/>
        </w:rPr>
        <w:t>号，邮编</w:t>
      </w:r>
      <w:r>
        <w:rPr>
          <w:rFonts w:eastAsia="仿宋_GB2312"/>
          <w:bCs/>
          <w:sz w:val="32"/>
          <w:szCs w:val="32"/>
          <w:lang w:eastAsia="zh-CN"/>
        </w:rPr>
        <w:t>15317</w:t>
      </w:r>
      <w:r>
        <w:rPr>
          <w:rFonts w:hint="eastAsia" w:eastAsia="仿宋_GB2312"/>
          <w:bCs/>
          <w:sz w:val="32"/>
          <w:szCs w:val="32"/>
          <w:lang w:eastAsia="zh-CN"/>
        </w:rPr>
        <w:t>。</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关联实体</w:t>
      </w:r>
      <w:r>
        <w:rPr>
          <w:rFonts w:eastAsia="仿宋_GB2312"/>
          <w:bCs/>
          <w:sz w:val="32"/>
          <w:szCs w:val="32"/>
          <w:lang w:eastAsia="zh-CN"/>
        </w:rPr>
        <w:t>：</w:t>
      </w:r>
      <w:r>
        <w:rPr>
          <w:rFonts w:hint="eastAsia" w:eastAsia="仿宋_GB2312"/>
          <w:bCs/>
          <w:sz w:val="32"/>
          <w:szCs w:val="32"/>
          <w:lang w:eastAsia="zh-CN"/>
        </w:rPr>
        <w:t>由交易双方和/或交易双方的最终母公司控制的实体，其中控制的概念应根据《经营者集中审查规定》第五条解释。</w:t>
      </w:r>
    </w:p>
    <w:p>
      <w:pPr>
        <w:widowControl w:val="0"/>
        <w:autoSpaceDE/>
        <w:autoSpaceDN/>
        <w:adjustRightInd/>
        <w:spacing w:after="120" w:line="360" w:lineRule="auto"/>
        <w:ind w:firstLine="642" w:firstLineChars="200"/>
        <w:rPr>
          <w:rFonts w:eastAsia="仿宋_GB2312"/>
          <w:bCs/>
          <w:sz w:val="32"/>
          <w:szCs w:val="32"/>
          <w:lang w:eastAsia="zh-CN"/>
        </w:rPr>
      </w:pPr>
      <w:r>
        <w:rPr>
          <w:rFonts w:eastAsia="仿宋_GB2312"/>
          <w:b/>
          <w:sz w:val="32"/>
          <w:szCs w:val="32"/>
          <w:lang w:eastAsia="zh-CN"/>
        </w:rPr>
        <w:t>集中后实体</w:t>
      </w:r>
      <w:r>
        <w:rPr>
          <w:rFonts w:eastAsia="仿宋_GB2312"/>
          <w:bCs/>
          <w:sz w:val="32"/>
          <w:szCs w:val="32"/>
          <w:lang w:eastAsia="zh-CN"/>
        </w:rPr>
        <w:t>：本交易完成后，</w:t>
      </w:r>
      <w:r>
        <w:rPr>
          <w:rFonts w:hint="eastAsia" w:eastAsia="仿宋_GB2312"/>
          <w:bCs/>
          <w:sz w:val="32"/>
          <w:szCs w:val="32"/>
          <w:lang w:eastAsia="zh-CN"/>
        </w:rPr>
        <w:t>新思科技</w:t>
      </w:r>
      <w:r>
        <w:rPr>
          <w:rFonts w:eastAsia="仿宋_GB2312"/>
          <w:bCs/>
          <w:sz w:val="32"/>
          <w:szCs w:val="32"/>
          <w:lang w:eastAsia="zh-CN"/>
        </w:rPr>
        <w:t>和</w:t>
      </w:r>
      <w:r>
        <w:rPr>
          <w:rFonts w:hint="eastAsia" w:eastAsia="仿宋_GB2312"/>
          <w:bCs/>
          <w:sz w:val="32"/>
          <w:szCs w:val="32"/>
          <w:lang w:eastAsia="zh-CN"/>
        </w:rPr>
        <w:t>安似科技</w:t>
      </w:r>
      <w:r>
        <w:rPr>
          <w:rFonts w:eastAsia="仿宋_GB2312"/>
          <w:bCs/>
          <w:sz w:val="32"/>
          <w:szCs w:val="32"/>
          <w:lang w:eastAsia="zh-CN"/>
        </w:rPr>
        <w:t>合并后的业务</w:t>
      </w:r>
      <w:r>
        <w:rPr>
          <w:rFonts w:hint="eastAsia" w:eastAsia="仿宋_GB2312"/>
          <w:bCs/>
          <w:sz w:val="32"/>
          <w:szCs w:val="32"/>
          <w:lang w:eastAsia="zh-CN"/>
        </w:rPr>
        <w:t>，包括</w:t>
      </w:r>
      <w:r>
        <w:rPr>
          <w:rFonts w:eastAsia="仿宋_GB2312"/>
          <w:bCs/>
          <w:sz w:val="32"/>
          <w:szCs w:val="32"/>
          <w:lang w:eastAsia="zh-CN"/>
        </w:rPr>
        <w:t>因</w:t>
      </w:r>
      <w:r>
        <w:rPr>
          <w:rFonts w:hint="eastAsia" w:eastAsia="仿宋_GB2312"/>
          <w:bCs/>
          <w:sz w:val="32"/>
          <w:szCs w:val="32"/>
          <w:lang w:eastAsia="zh-CN"/>
        </w:rPr>
        <w:t>本</w:t>
      </w:r>
      <w:r>
        <w:rPr>
          <w:rFonts w:eastAsia="仿宋_GB2312"/>
          <w:bCs/>
          <w:sz w:val="32"/>
          <w:szCs w:val="32"/>
          <w:lang w:eastAsia="zh-CN"/>
        </w:rPr>
        <w:t>交易而产生的继受</w:t>
      </w:r>
      <w:r>
        <w:rPr>
          <w:rFonts w:hint="eastAsia" w:eastAsia="仿宋_GB2312"/>
          <w:bCs/>
          <w:sz w:val="32"/>
          <w:szCs w:val="32"/>
          <w:lang w:eastAsia="zh-CN"/>
        </w:rPr>
        <w:t>实体</w:t>
      </w:r>
      <w:r>
        <w:rPr>
          <w:rFonts w:eastAsia="仿宋_GB2312"/>
          <w:bCs/>
          <w:sz w:val="32"/>
          <w:szCs w:val="32"/>
          <w:lang w:eastAsia="zh-CN"/>
        </w:rPr>
        <w:t>、受让</w:t>
      </w:r>
      <w:r>
        <w:rPr>
          <w:rFonts w:hint="eastAsia" w:eastAsia="仿宋_GB2312"/>
          <w:bCs/>
          <w:sz w:val="32"/>
          <w:szCs w:val="32"/>
          <w:lang w:eastAsia="zh-CN"/>
        </w:rPr>
        <w:t>实体</w:t>
      </w:r>
      <w:r>
        <w:rPr>
          <w:rFonts w:eastAsia="仿宋_GB2312"/>
          <w:bCs/>
          <w:sz w:val="32"/>
          <w:szCs w:val="32"/>
          <w:lang w:eastAsia="zh-CN"/>
        </w:rPr>
        <w:t>以及关联公司。</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剥离业务</w:t>
      </w:r>
      <w:r>
        <w:rPr>
          <w:rFonts w:eastAsia="仿宋_GB2312"/>
          <w:bCs/>
          <w:sz w:val="32"/>
          <w:szCs w:val="32"/>
          <w:lang w:eastAsia="zh-CN"/>
        </w:rPr>
        <w:t>：</w:t>
      </w:r>
      <w:r>
        <w:rPr>
          <w:rFonts w:hint="eastAsia" w:eastAsia="仿宋_GB2312"/>
          <w:bCs/>
          <w:sz w:val="32"/>
          <w:szCs w:val="32"/>
          <w:lang w:eastAsia="zh-CN"/>
        </w:rPr>
        <w:t>光学解决方案剥离业务和功耗分析剥离业务。</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光学解决方案剥离业务：</w:t>
      </w:r>
      <w:r>
        <w:rPr>
          <w:rFonts w:hint="eastAsia" w:eastAsia="仿宋_GB2312"/>
          <w:bCs/>
          <w:sz w:val="32"/>
          <w:szCs w:val="32"/>
          <w:lang w:eastAsia="zh-CN"/>
        </w:rPr>
        <w:t>新思科技承诺剥离的其整个光学和光子器件仿真业务，即光学解决方案业务部门。光学解决方案剥离业务提供五种用于设计和仿真光学与光子器件的软件解决方案：</w:t>
      </w:r>
      <w:r>
        <w:rPr>
          <w:rFonts w:eastAsia="仿宋_GB2312"/>
          <w:bCs/>
          <w:i/>
          <w:iCs/>
          <w:sz w:val="32"/>
          <w:szCs w:val="32"/>
          <w:lang w:eastAsia="zh-CN"/>
        </w:rPr>
        <w:t>CODE V</w:t>
      </w:r>
      <w:r>
        <w:rPr>
          <w:rFonts w:hint="eastAsia" w:eastAsia="仿宋_GB2312"/>
          <w:bCs/>
          <w:sz w:val="32"/>
          <w:szCs w:val="32"/>
          <w:lang w:eastAsia="zh-CN"/>
        </w:rPr>
        <w:t>、</w:t>
      </w:r>
      <w:r>
        <w:rPr>
          <w:rFonts w:eastAsia="仿宋_GB2312"/>
          <w:bCs/>
          <w:i/>
          <w:iCs/>
          <w:sz w:val="32"/>
          <w:szCs w:val="32"/>
          <w:lang w:eastAsia="zh-CN"/>
        </w:rPr>
        <w:t>LightTools</w:t>
      </w:r>
      <w:r>
        <w:rPr>
          <w:rFonts w:hint="eastAsia" w:eastAsia="仿宋_GB2312"/>
          <w:bCs/>
          <w:sz w:val="32"/>
          <w:szCs w:val="32"/>
          <w:lang w:eastAsia="zh-CN"/>
        </w:rPr>
        <w:t>、</w:t>
      </w:r>
      <w:r>
        <w:rPr>
          <w:rFonts w:eastAsia="仿宋_GB2312"/>
          <w:bCs/>
          <w:i/>
          <w:iCs/>
          <w:sz w:val="32"/>
          <w:szCs w:val="32"/>
          <w:lang w:eastAsia="zh-CN"/>
        </w:rPr>
        <w:t>LucidShape</w:t>
      </w:r>
      <w:r>
        <w:rPr>
          <w:rFonts w:hint="eastAsia" w:eastAsia="仿宋_GB2312"/>
          <w:bCs/>
          <w:sz w:val="32"/>
          <w:szCs w:val="32"/>
          <w:lang w:eastAsia="zh-CN"/>
        </w:rPr>
        <w:t>、</w:t>
      </w:r>
      <w:r>
        <w:rPr>
          <w:rFonts w:eastAsia="仿宋_GB2312"/>
          <w:bCs/>
          <w:i/>
          <w:iCs/>
          <w:sz w:val="32"/>
          <w:szCs w:val="32"/>
          <w:lang w:eastAsia="zh-CN"/>
        </w:rPr>
        <w:t>RSoft Photonic Device Tools</w:t>
      </w:r>
      <w:r>
        <w:rPr>
          <w:rFonts w:hint="eastAsia" w:eastAsia="仿宋_GB2312"/>
          <w:bCs/>
          <w:sz w:val="32"/>
          <w:szCs w:val="32"/>
          <w:lang w:eastAsia="zh-CN"/>
        </w:rPr>
        <w:t>和</w:t>
      </w:r>
      <w:r>
        <w:rPr>
          <w:rFonts w:eastAsia="仿宋_GB2312"/>
          <w:bCs/>
          <w:i/>
          <w:iCs/>
          <w:sz w:val="32"/>
          <w:szCs w:val="32"/>
          <w:lang w:eastAsia="zh-CN"/>
        </w:rPr>
        <w:t>ImSym</w:t>
      </w:r>
      <w:r>
        <w:rPr>
          <w:rFonts w:hint="eastAsia" w:eastAsia="仿宋_GB2312"/>
          <w:bCs/>
          <w:sz w:val="32"/>
          <w:szCs w:val="32"/>
          <w:lang w:eastAsia="zh-CN"/>
        </w:rPr>
        <w:t>，并包括所有相关资产、服务、在研产品、知识产权、人员和合同。</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功耗分析剥离业务：</w:t>
      </w:r>
      <w:r>
        <w:rPr>
          <w:rFonts w:hint="eastAsia" w:eastAsia="仿宋_GB2312"/>
          <w:bCs/>
          <w:sz w:val="32"/>
          <w:szCs w:val="32"/>
          <w:lang w:eastAsia="zh-CN"/>
        </w:rPr>
        <w:t>新思科技和安似科技承诺剥离的研究、开发、分销、许可、销售、营销、商业化等其他提供安似科技以</w:t>
      </w:r>
      <w:r>
        <w:rPr>
          <w:rFonts w:eastAsia="仿宋_GB2312"/>
          <w:bCs/>
          <w:i/>
          <w:iCs/>
          <w:sz w:val="32"/>
          <w:szCs w:val="32"/>
          <w:lang w:eastAsia="zh-CN"/>
        </w:rPr>
        <w:t>PowerArtist</w:t>
      </w:r>
      <w:r>
        <w:rPr>
          <w:rFonts w:hint="eastAsia" w:eastAsia="仿宋_GB2312"/>
          <w:bCs/>
          <w:sz w:val="32"/>
          <w:szCs w:val="32"/>
          <w:lang w:eastAsia="zh-CN"/>
        </w:rPr>
        <w:t>商业分销的寄存器传输级（</w:t>
      </w:r>
      <w:r>
        <w:rPr>
          <w:rFonts w:eastAsia="仿宋_GB2312"/>
          <w:bCs/>
          <w:sz w:val="32"/>
          <w:szCs w:val="32"/>
          <w:lang w:eastAsia="zh-CN"/>
        </w:rPr>
        <w:t>RTL</w:t>
      </w:r>
      <w:r>
        <w:rPr>
          <w:rFonts w:hint="eastAsia" w:eastAsia="仿宋_GB2312"/>
          <w:bCs/>
          <w:sz w:val="32"/>
          <w:szCs w:val="32"/>
          <w:lang w:eastAsia="zh-CN"/>
        </w:rPr>
        <w:t>）功耗分析产品的业务。</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人员</w:t>
      </w:r>
      <w:r>
        <w:rPr>
          <w:rFonts w:eastAsia="仿宋_GB2312"/>
          <w:bCs/>
          <w:sz w:val="32"/>
          <w:szCs w:val="32"/>
          <w:lang w:eastAsia="zh-CN"/>
        </w:rPr>
        <w:t>：</w:t>
      </w:r>
      <w:r>
        <w:rPr>
          <w:rFonts w:hint="eastAsia" w:eastAsia="仿宋_GB2312"/>
          <w:bCs/>
          <w:sz w:val="32"/>
          <w:szCs w:val="32"/>
          <w:lang w:eastAsia="zh-CN"/>
        </w:rPr>
        <w:t>剥离业务目前雇用的所有人员，包括借调至剥离业务的人员，以及附录中列出的共享人员。</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关键人员</w:t>
      </w:r>
      <w:r>
        <w:rPr>
          <w:rFonts w:eastAsia="仿宋_GB2312"/>
          <w:bCs/>
          <w:sz w:val="32"/>
          <w:szCs w:val="32"/>
          <w:lang w:eastAsia="zh-CN"/>
        </w:rPr>
        <w:t>：</w:t>
      </w:r>
      <w:r>
        <w:rPr>
          <w:rFonts w:hint="eastAsia" w:eastAsia="仿宋_GB2312"/>
          <w:bCs/>
          <w:sz w:val="32"/>
          <w:szCs w:val="32"/>
          <w:lang w:eastAsia="zh-CN"/>
        </w:rPr>
        <w:t>附录所列的为维持剥离业务的存续性和竞争性所必需的所有人员，包括保持独立管理人。</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剥离买方</w:t>
      </w:r>
      <w:r>
        <w:rPr>
          <w:rFonts w:eastAsia="仿宋_GB2312"/>
          <w:bCs/>
          <w:sz w:val="32"/>
          <w:szCs w:val="32"/>
          <w:lang w:eastAsia="zh-CN"/>
        </w:rPr>
        <w:t>：</w:t>
      </w:r>
      <w:r>
        <w:rPr>
          <w:rFonts w:hint="eastAsia" w:eastAsia="仿宋_GB2312"/>
          <w:bCs/>
          <w:sz w:val="32"/>
          <w:szCs w:val="32"/>
          <w:lang w:eastAsia="zh-CN"/>
        </w:rPr>
        <w:t>市场监管总局批准作为光学解决方案剥离业务和功耗分析剥离业务买方的实体。</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保密信息</w:t>
      </w:r>
      <w:r>
        <w:rPr>
          <w:rFonts w:eastAsia="仿宋_GB2312"/>
          <w:bCs/>
          <w:sz w:val="32"/>
          <w:szCs w:val="32"/>
          <w:lang w:eastAsia="zh-CN"/>
        </w:rPr>
        <w:t>：</w:t>
      </w:r>
      <w:r>
        <w:rPr>
          <w:rFonts w:hint="eastAsia" w:eastAsia="仿宋_GB2312"/>
          <w:bCs/>
          <w:sz w:val="32"/>
          <w:szCs w:val="32"/>
          <w:lang w:eastAsia="zh-CN"/>
        </w:rPr>
        <w:t>任何无法在公开领域获得的商业秘密、技术诀窍、商业信息或具有专有性质的任何其他信息。</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EDA产品</w:t>
      </w:r>
      <w:r>
        <w:rPr>
          <w:rFonts w:eastAsia="仿宋_GB2312"/>
          <w:bCs/>
          <w:sz w:val="32"/>
          <w:szCs w:val="32"/>
          <w:lang w:eastAsia="zh-CN"/>
        </w:rPr>
        <w:t>：</w:t>
      </w:r>
      <w:r>
        <w:rPr>
          <w:rFonts w:hint="eastAsia" w:eastAsia="仿宋_GB2312"/>
          <w:bCs/>
          <w:sz w:val="32"/>
          <w:szCs w:val="32"/>
          <w:lang w:eastAsia="zh-CN"/>
        </w:rPr>
        <w:t>用于设计集成电路（通常被称为芯片）的任何电子设计自动化（EDA）软件和硬件，以及主要用于集成电路设计用途的任何多物理场仿真和分析软件。</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安似科技相关EDA产品</w:t>
      </w:r>
      <w:r>
        <w:rPr>
          <w:rFonts w:eastAsia="仿宋_GB2312"/>
          <w:bCs/>
          <w:sz w:val="32"/>
          <w:szCs w:val="32"/>
          <w:lang w:eastAsia="zh-CN"/>
        </w:rPr>
        <w:t>：</w:t>
      </w:r>
      <w:r>
        <w:rPr>
          <w:rFonts w:hint="eastAsia" w:eastAsia="仿宋_GB2312"/>
          <w:bCs/>
          <w:sz w:val="32"/>
          <w:szCs w:val="32"/>
          <w:lang w:eastAsia="zh-CN"/>
        </w:rPr>
        <w:t>任何由安似科技开发并向或将向中国客户销售且主要用于门级电源完整性分析、电磁仿真、结构与热分析、寄生分析、门级安全分析、功率器件分析和晶体管级电源完整性分析的独立EDA产品。对前述功能的描述以及截至生效日的该等EDA产品列表，请见</w:t>
      </w:r>
      <w:r>
        <w:rPr>
          <w:rFonts w:hint="eastAsia" w:eastAsia="仿宋_GB2312"/>
          <w:b/>
          <w:sz w:val="32"/>
          <w:szCs w:val="32"/>
          <w:lang w:eastAsia="zh-CN"/>
        </w:rPr>
        <w:t>附件【保密】</w:t>
      </w:r>
      <w:r>
        <w:rPr>
          <w:rFonts w:hint="eastAsia" w:eastAsia="仿宋_GB2312"/>
          <w:bCs/>
          <w:sz w:val="32"/>
          <w:szCs w:val="32"/>
          <w:lang w:eastAsia="zh-CN"/>
        </w:rPr>
        <w:t>。</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新思科技相关EDA产品</w:t>
      </w:r>
      <w:r>
        <w:rPr>
          <w:rFonts w:hint="eastAsia" w:eastAsia="仿宋_GB2312"/>
          <w:bCs/>
          <w:sz w:val="32"/>
          <w:szCs w:val="32"/>
          <w:lang w:eastAsia="zh-CN"/>
        </w:rPr>
        <w:t>：任何由新思科技开发并向或将向中国客户销售</w:t>
      </w:r>
      <w:bookmarkStart w:id="0" w:name="_Hlk198552193"/>
      <w:r>
        <w:rPr>
          <w:rFonts w:hint="eastAsia" w:eastAsia="仿宋_GB2312"/>
          <w:bCs/>
          <w:sz w:val="32"/>
          <w:szCs w:val="32"/>
          <w:lang w:eastAsia="zh-CN"/>
        </w:rPr>
        <w:t>的独立EDA产品</w:t>
      </w:r>
      <w:bookmarkEnd w:id="0"/>
      <w:r>
        <w:rPr>
          <w:rFonts w:hint="eastAsia" w:eastAsia="仿宋_GB2312"/>
          <w:bCs/>
          <w:sz w:val="32"/>
          <w:szCs w:val="32"/>
          <w:lang w:eastAsia="zh-CN"/>
        </w:rPr>
        <w:t>，且（1）与任何安似科技相关EDA产品互操作（即导入或导出数据），或（2）主要用于寄生分析、功率器件分析和晶体管级电源完整性分析。对前述功能的描述以及截至生效日的该等EDA产品列表，请见</w:t>
      </w:r>
      <w:r>
        <w:rPr>
          <w:rFonts w:hint="eastAsia" w:eastAsia="仿宋_GB2312"/>
          <w:b/>
          <w:sz w:val="32"/>
          <w:szCs w:val="32"/>
          <w:lang w:eastAsia="zh-CN"/>
        </w:rPr>
        <w:t>附件【保密】</w:t>
      </w:r>
      <w:r>
        <w:rPr>
          <w:rFonts w:hint="eastAsia" w:eastAsia="仿宋_GB2312"/>
          <w:bCs/>
          <w:sz w:val="32"/>
          <w:szCs w:val="32"/>
          <w:lang w:eastAsia="zh-CN"/>
        </w:rPr>
        <w:t>。</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中国客户</w:t>
      </w:r>
      <w:r>
        <w:rPr>
          <w:rFonts w:hint="eastAsia" w:eastAsia="仿宋_GB2312"/>
          <w:bCs/>
          <w:sz w:val="32"/>
          <w:szCs w:val="32"/>
          <w:lang w:eastAsia="zh-CN"/>
        </w:rPr>
        <w:t>：EDA厂商的总部位于中国境内的客户（包括该等客户位于中国境外的子公司），以及EDA厂商的总部位于中国境外的客户的中国子公司，前提为这些中国子公司直接向该EDA厂商或其授权经销商采购并用于中国境内</w:t>
      </w:r>
      <w:r>
        <w:rPr>
          <w:rFonts w:eastAsia="仿宋_GB2312"/>
          <w:bCs/>
          <w:sz w:val="32"/>
          <w:szCs w:val="32"/>
          <w:lang w:eastAsia="zh-CN"/>
        </w:rPr>
        <w:t>。</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现有客户合同</w:t>
      </w:r>
      <w:r>
        <w:rPr>
          <w:rFonts w:hint="eastAsia" w:eastAsia="仿宋_GB2312"/>
          <w:bCs/>
          <w:sz w:val="32"/>
          <w:szCs w:val="32"/>
          <w:lang w:eastAsia="zh-CN"/>
        </w:rPr>
        <w:t>：截至生效日，交易双方中的任一方与其中国客户之间关于供应新思科技或安似科技主要用于寄生分析（新思科技的</w:t>
      </w:r>
      <w:r>
        <w:rPr>
          <w:rFonts w:eastAsia="仿宋_GB2312"/>
          <w:bCs/>
          <w:i/>
          <w:iCs/>
          <w:sz w:val="32"/>
          <w:szCs w:val="32"/>
          <w:lang w:eastAsia="zh-CN"/>
        </w:rPr>
        <w:t>Pillar</w:t>
      </w:r>
      <w:r>
        <w:rPr>
          <w:rFonts w:hint="eastAsia" w:eastAsia="仿宋_GB2312"/>
          <w:bCs/>
          <w:sz w:val="32"/>
          <w:szCs w:val="32"/>
          <w:lang w:eastAsia="zh-CN"/>
        </w:rPr>
        <w:t>和安似科技的</w:t>
      </w:r>
      <w:r>
        <w:rPr>
          <w:rFonts w:eastAsia="仿宋_GB2312"/>
          <w:bCs/>
          <w:i/>
          <w:iCs/>
          <w:sz w:val="32"/>
          <w:szCs w:val="32"/>
          <w:lang w:eastAsia="zh-CN"/>
        </w:rPr>
        <w:t>ParagonX</w:t>
      </w:r>
      <w:r>
        <w:rPr>
          <w:rFonts w:hint="eastAsia" w:eastAsia="仿宋_GB2312"/>
          <w:bCs/>
          <w:sz w:val="32"/>
          <w:szCs w:val="32"/>
          <w:lang w:eastAsia="zh-CN"/>
        </w:rPr>
        <w:t>）、晶体管级电源完整性分析（新思科技的</w:t>
      </w:r>
      <w:r>
        <w:rPr>
          <w:rFonts w:eastAsia="仿宋_GB2312"/>
          <w:bCs/>
          <w:i/>
          <w:iCs/>
          <w:sz w:val="32"/>
          <w:szCs w:val="32"/>
          <w:lang w:eastAsia="zh-CN"/>
        </w:rPr>
        <w:t>PrimeSim Reliability Analysis</w:t>
      </w:r>
      <w:r>
        <w:rPr>
          <w:rFonts w:hint="eastAsia" w:eastAsia="仿宋_GB2312"/>
          <w:bCs/>
          <w:sz w:val="32"/>
          <w:szCs w:val="32"/>
          <w:lang w:eastAsia="zh-CN"/>
        </w:rPr>
        <w:t>和安似科技的</w:t>
      </w:r>
      <w:r>
        <w:rPr>
          <w:rFonts w:eastAsia="仿宋_GB2312"/>
          <w:bCs/>
          <w:i/>
          <w:iCs/>
          <w:sz w:val="32"/>
          <w:szCs w:val="32"/>
          <w:lang w:eastAsia="zh-CN"/>
        </w:rPr>
        <w:t>Totem(-SC)</w:t>
      </w:r>
      <w:r>
        <w:rPr>
          <w:rFonts w:hint="eastAsia" w:eastAsia="仿宋_GB2312"/>
          <w:bCs/>
          <w:sz w:val="32"/>
          <w:szCs w:val="32"/>
          <w:lang w:eastAsia="zh-CN"/>
        </w:rPr>
        <w:t>）和功率器件分析（新思科技的</w:t>
      </w:r>
      <w:r>
        <w:rPr>
          <w:rFonts w:eastAsia="仿宋_GB2312"/>
          <w:bCs/>
          <w:i/>
          <w:iCs/>
          <w:sz w:val="32"/>
          <w:szCs w:val="32"/>
          <w:lang w:eastAsia="zh-CN"/>
        </w:rPr>
        <w:t>Power Device Workbench</w:t>
      </w:r>
      <w:r>
        <w:rPr>
          <w:rFonts w:hint="eastAsia" w:eastAsia="仿宋_GB2312"/>
          <w:bCs/>
          <w:sz w:val="32"/>
          <w:szCs w:val="32"/>
          <w:lang w:eastAsia="zh-CN"/>
        </w:rPr>
        <w:t>和安似科技的</w:t>
      </w:r>
      <w:r>
        <w:rPr>
          <w:rFonts w:eastAsia="仿宋_GB2312"/>
          <w:bCs/>
          <w:i/>
          <w:iCs/>
          <w:sz w:val="32"/>
          <w:szCs w:val="32"/>
          <w:lang w:eastAsia="zh-CN"/>
        </w:rPr>
        <w:t>PowerX</w:t>
      </w:r>
      <w:r>
        <w:rPr>
          <w:rFonts w:hint="eastAsia" w:eastAsia="仿宋_GB2312"/>
          <w:bCs/>
          <w:sz w:val="32"/>
          <w:szCs w:val="32"/>
          <w:lang w:eastAsia="zh-CN"/>
        </w:rPr>
        <w:t>）的EDA产品的任何有效合同。</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设计IP</w:t>
      </w:r>
      <w:r>
        <w:rPr>
          <w:rFonts w:eastAsia="仿宋_GB2312"/>
          <w:bCs/>
          <w:sz w:val="32"/>
          <w:szCs w:val="32"/>
          <w:lang w:eastAsia="zh-CN"/>
        </w:rPr>
        <w:t>：</w:t>
      </w:r>
      <w:r>
        <w:rPr>
          <w:rFonts w:hint="eastAsia" w:eastAsia="仿宋_GB2312"/>
          <w:bCs/>
          <w:sz w:val="32"/>
          <w:szCs w:val="32"/>
          <w:lang w:eastAsia="zh-CN"/>
        </w:rPr>
        <w:t>预先设计的具有标准化功能的芯片元件构建模块。</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新思科技相关设计IP</w:t>
      </w:r>
      <w:r>
        <w:rPr>
          <w:rFonts w:hint="eastAsia" w:eastAsia="仿宋_GB2312"/>
          <w:bCs/>
          <w:sz w:val="32"/>
          <w:szCs w:val="32"/>
          <w:lang w:eastAsia="zh-CN"/>
        </w:rPr>
        <w:t>：任何由新思科技开发并向或将向中国客户销售且与任何安似科技相关EDA产品互操作（即导入或导出数据）的设计IP。有关截至生效日的该等设计IP列表，请见</w:t>
      </w:r>
      <w:r>
        <w:rPr>
          <w:rFonts w:hint="eastAsia" w:eastAsia="仿宋_GB2312"/>
          <w:b/>
          <w:sz w:val="32"/>
          <w:szCs w:val="32"/>
          <w:lang w:eastAsia="zh-CN"/>
        </w:rPr>
        <w:t>附件【保密】</w:t>
      </w:r>
      <w:r>
        <w:rPr>
          <w:rFonts w:hint="eastAsia" w:eastAsia="仿宋_GB2312"/>
          <w:bCs/>
          <w:sz w:val="32"/>
          <w:szCs w:val="32"/>
          <w:lang w:eastAsia="zh-CN"/>
        </w:rPr>
        <w:t>。</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新思科技相关EDA/设计IP产品</w:t>
      </w:r>
      <w:r>
        <w:rPr>
          <w:rFonts w:hint="eastAsia" w:eastAsia="仿宋_GB2312"/>
          <w:bCs/>
          <w:sz w:val="32"/>
          <w:szCs w:val="32"/>
          <w:lang w:eastAsia="zh-CN"/>
        </w:rPr>
        <w:t>：任何新思科技相关EDA产品或新思科技相关设计IP。</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行业标准格式</w:t>
      </w:r>
      <w:r>
        <w:rPr>
          <w:rFonts w:eastAsia="仿宋_GB2312"/>
          <w:bCs/>
          <w:sz w:val="32"/>
          <w:szCs w:val="32"/>
          <w:lang w:eastAsia="zh-CN"/>
        </w:rPr>
        <w:t>：</w:t>
      </w:r>
      <w:r>
        <w:rPr>
          <w:rFonts w:hint="eastAsia" w:eastAsia="仿宋_GB2312"/>
          <w:bCs/>
          <w:sz w:val="32"/>
          <w:szCs w:val="32"/>
          <w:lang w:eastAsia="zh-CN"/>
        </w:rPr>
        <w:t>用于</w:t>
      </w:r>
      <w:r>
        <w:rPr>
          <w:rFonts w:eastAsia="仿宋_GB2312"/>
          <w:bCs/>
          <w:sz w:val="32"/>
          <w:szCs w:val="32"/>
          <w:lang w:eastAsia="zh-CN"/>
        </w:rPr>
        <w:t>EDA</w:t>
      </w:r>
      <w:r>
        <w:rPr>
          <w:rFonts w:hint="eastAsia" w:eastAsia="仿宋_GB2312"/>
          <w:bCs/>
          <w:sz w:val="32"/>
          <w:szCs w:val="32"/>
          <w:lang w:eastAsia="zh-CN"/>
        </w:rPr>
        <w:t>产品之间数据交换、由独立标准机构或正式成立的行业协会管理的文件格式、语言和/或应用程序接口（</w:t>
      </w:r>
      <w:r>
        <w:rPr>
          <w:rFonts w:eastAsia="仿宋_GB2312"/>
          <w:bCs/>
          <w:sz w:val="32"/>
          <w:szCs w:val="32"/>
          <w:lang w:eastAsia="zh-CN"/>
        </w:rPr>
        <w:t>API</w:t>
      </w:r>
      <w:r>
        <w:rPr>
          <w:rFonts w:hint="eastAsia" w:eastAsia="仿宋_GB2312"/>
          <w:bCs/>
          <w:sz w:val="32"/>
          <w:szCs w:val="32"/>
          <w:lang w:eastAsia="zh-CN"/>
        </w:rPr>
        <w:t>），包括但不限于</w:t>
      </w:r>
      <w:r>
        <w:rPr>
          <w:rFonts w:hint="eastAsia" w:eastAsia="仿宋_GB2312"/>
          <w:b/>
          <w:sz w:val="32"/>
          <w:szCs w:val="32"/>
          <w:lang w:eastAsia="zh-CN"/>
        </w:rPr>
        <w:t>附件【保密】</w:t>
      </w:r>
      <w:r>
        <w:rPr>
          <w:rFonts w:hint="eastAsia" w:eastAsia="仿宋_GB2312"/>
          <w:bCs/>
          <w:sz w:val="32"/>
          <w:szCs w:val="32"/>
          <w:lang w:eastAsia="zh-CN"/>
        </w:rPr>
        <w:t>所列的行业标准格式。</w:t>
      </w:r>
    </w:p>
    <w:p>
      <w:pPr>
        <w:widowControl w:val="0"/>
        <w:autoSpaceDE/>
        <w:autoSpaceDN/>
        <w:adjustRightInd/>
        <w:spacing w:after="120" w:line="360" w:lineRule="auto"/>
        <w:ind w:firstLine="642" w:firstLineChars="200"/>
        <w:rPr>
          <w:rFonts w:eastAsia="仿宋_GB2312"/>
          <w:bCs/>
          <w:sz w:val="32"/>
          <w:szCs w:val="32"/>
          <w:lang w:eastAsia="zh-CN"/>
        </w:rPr>
      </w:pPr>
      <w:r>
        <w:rPr>
          <w:rFonts w:hint="eastAsia" w:eastAsia="仿宋_GB2312"/>
          <w:b/>
          <w:sz w:val="32"/>
          <w:szCs w:val="32"/>
          <w:lang w:eastAsia="zh-CN"/>
        </w:rPr>
        <w:t>互操作性</w:t>
      </w:r>
      <w:r>
        <w:rPr>
          <w:rFonts w:eastAsia="仿宋_GB2312"/>
          <w:bCs/>
          <w:sz w:val="32"/>
          <w:szCs w:val="32"/>
          <w:lang w:eastAsia="zh-CN"/>
        </w:rPr>
        <w:t>：</w:t>
      </w:r>
      <w:r>
        <w:rPr>
          <w:rFonts w:hint="eastAsia" w:eastAsia="仿宋_GB2312"/>
          <w:bCs/>
          <w:sz w:val="32"/>
          <w:szCs w:val="32"/>
          <w:lang w:eastAsia="zh-CN"/>
        </w:rPr>
        <w:t>就本承诺方案而言，互操作性指独立的安似科技相关</w:t>
      </w:r>
      <w:r>
        <w:rPr>
          <w:rFonts w:eastAsia="仿宋_GB2312"/>
          <w:bCs/>
          <w:sz w:val="32"/>
          <w:szCs w:val="32"/>
          <w:lang w:eastAsia="zh-CN"/>
        </w:rPr>
        <w:t>EDA</w:t>
      </w:r>
      <w:r>
        <w:rPr>
          <w:rFonts w:hint="eastAsia" w:eastAsia="仿宋_GB2312"/>
          <w:bCs/>
          <w:sz w:val="32"/>
          <w:szCs w:val="32"/>
          <w:lang w:eastAsia="zh-CN"/>
        </w:rPr>
        <w:t>产品或主要用于寄生分析、功率器件分析和晶体管级电源完整性分析的独立新思科技相关EDA产品，与独立的第三方</w:t>
      </w:r>
      <w:r>
        <w:rPr>
          <w:rFonts w:eastAsia="仿宋_GB2312"/>
          <w:bCs/>
          <w:sz w:val="32"/>
          <w:szCs w:val="32"/>
          <w:lang w:eastAsia="zh-CN"/>
        </w:rPr>
        <w:t>EDA</w:t>
      </w:r>
      <w:r>
        <w:rPr>
          <w:rFonts w:hint="eastAsia" w:eastAsia="仿宋_GB2312"/>
          <w:bCs/>
          <w:sz w:val="32"/>
          <w:szCs w:val="32"/>
          <w:lang w:eastAsia="zh-CN"/>
        </w:rPr>
        <w:t>产品之间通过有文档记录的格式和/或</w:t>
      </w:r>
      <w:r>
        <w:rPr>
          <w:rFonts w:eastAsia="仿宋_GB2312"/>
          <w:bCs/>
          <w:sz w:val="32"/>
          <w:szCs w:val="32"/>
          <w:lang w:eastAsia="zh-CN"/>
        </w:rPr>
        <w:t>API</w:t>
      </w:r>
      <w:r>
        <w:rPr>
          <w:rFonts w:hint="eastAsia" w:eastAsia="仿宋_GB2312"/>
          <w:bCs/>
          <w:sz w:val="32"/>
          <w:szCs w:val="32"/>
          <w:lang w:eastAsia="zh-CN"/>
        </w:rPr>
        <w:t>交换信息，而无需访问专有源代码或集成功能，并在</w:t>
      </w:r>
      <w:r>
        <w:rPr>
          <w:rFonts w:eastAsia="仿宋_GB2312"/>
          <w:bCs/>
          <w:sz w:val="32"/>
          <w:szCs w:val="32"/>
          <w:lang w:eastAsia="zh-CN"/>
        </w:rPr>
        <w:t>EDA</w:t>
      </w:r>
      <w:r>
        <w:rPr>
          <w:rFonts w:hint="eastAsia" w:eastAsia="仿宋_GB2312"/>
          <w:bCs/>
          <w:sz w:val="32"/>
          <w:szCs w:val="32"/>
          <w:lang w:eastAsia="zh-CN"/>
        </w:rPr>
        <w:t>工作流程中使用该等信息的能力。</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EDA工作流程</w:t>
      </w:r>
      <w:r>
        <w:rPr>
          <w:rFonts w:eastAsia="仿宋_GB2312"/>
          <w:bCs/>
          <w:sz w:val="32"/>
          <w:szCs w:val="32"/>
          <w:lang w:eastAsia="zh-CN"/>
        </w:rPr>
        <w:t>：</w:t>
      </w:r>
      <w:r>
        <w:rPr>
          <w:rFonts w:hint="eastAsia" w:eastAsia="仿宋_GB2312"/>
          <w:bCs/>
          <w:sz w:val="32"/>
          <w:szCs w:val="32"/>
          <w:lang w:eastAsia="zh-CN"/>
        </w:rPr>
        <w:t>使用</w:t>
      </w:r>
      <w:r>
        <w:rPr>
          <w:rFonts w:eastAsia="仿宋_GB2312"/>
          <w:bCs/>
          <w:sz w:val="32"/>
          <w:szCs w:val="32"/>
          <w:lang w:eastAsia="zh-CN"/>
        </w:rPr>
        <w:t>EDA</w:t>
      </w:r>
      <w:r>
        <w:rPr>
          <w:rFonts w:hint="eastAsia" w:eastAsia="仿宋_GB2312"/>
          <w:bCs/>
          <w:sz w:val="32"/>
          <w:szCs w:val="32"/>
          <w:lang w:eastAsia="zh-CN"/>
        </w:rPr>
        <w:t>产品设计、模拟和验证集成电路的结构化流程。</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互操作性协议</w:t>
      </w:r>
      <w:r>
        <w:rPr>
          <w:rFonts w:eastAsia="仿宋_GB2312"/>
          <w:bCs/>
          <w:sz w:val="32"/>
          <w:szCs w:val="32"/>
          <w:lang w:eastAsia="zh-CN"/>
        </w:rPr>
        <w:t>：</w:t>
      </w:r>
      <w:r>
        <w:rPr>
          <w:rFonts w:hint="eastAsia" w:eastAsia="仿宋_GB2312"/>
          <w:bCs/>
          <w:sz w:val="32"/>
          <w:szCs w:val="32"/>
          <w:lang w:eastAsia="zh-CN"/>
        </w:rPr>
        <w:t>指规范安似科技相关</w:t>
      </w:r>
      <w:r>
        <w:rPr>
          <w:rFonts w:eastAsia="仿宋_GB2312"/>
          <w:bCs/>
          <w:sz w:val="32"/>
          <w:szCs w:val="32"/>
          <w:lang w:eastAsia="zh-CN"/>
        </w:rPr>
        <w:t>EDA</w:t>
      </w:r>
      <w:r>
        <w:rPr>
          <w:rFonts w:hint="eastAsia" w:eastAsia="仿宋_GB2312"/>
          <w:bCs/>
          <w:sz w:val="32"/>
          <w:szCs w:val="32"/>
          <w:lang w:eastAsia="zh-CN"/>
        </w:rPr>
        <w:t>产品或主要用于寄生分析、功率器件分析和晶体管级电源完整性分析的新思科技相关EDA产品，与第三方</w:t>
      </w:r>
      <w:r>
        <w:rPr>
          <w:rFonts w:eastAsia="仿宋_GB2312"/>
          <w:bCs/>
          <w:sz w:val="32"/>
          <w:szCs w:val="32"/>
          <w:lang w:eastAsia="zh-CN"/>
        </w:rPr>
        <w:t>EDA</w:t>
      </w:r>
      <w:r>
        <w:rPr>
          <w:rFonts w:hint="eastAsia" w:eastAsia="仿宋_GB2312"/>
          <w:bCs/>
          <w:sz w:val="32"/>
          <w:szCs w:val="32"/>
          <w:lang w:eastAsia="zh-CN"/>
        </w:rPr>
        <w:t>厂商向中国客户销售的</w:t>
      </w:r>
      <w:r>
        <w:rPr>
          <w:rFonts w:eastAsia="仿宋_GB2312"/>
          <w:bCs/>
          <w:sz w:val="32"/>
          <w:szCs w:val="32"/>
          <w:lang w:eastAsia="zh-CN"/>
        </w:rPr>
        <w:t>EDA</w:t>
      </w:r>
      <w:r>
        <w:rPr>
          <w:rFonts w:hint="eastAsia" w:eastAsia="仿宋_GB2312"/>
          <w:bCs/>
          <w:sz w:val="32"/>
          <w:szCs w:val="32"/>
          <w:lang w:eastAsia="zh-CN"/>
        </w:rPr>
        <w:t>产品之间互操作性的协议，该协议包括在交易双方与第三方</w:t>
      </w:r>
      <w:r>
        <w:rPr>
          <w:rFonts w:eastAsia="仿宋_GB2312"/>
          <w:bCs/>
          <w:sz w:val="32"/>
          <w:szCs w:val="32"/>
          <w:lang w:eastAsia="zh-CN"/>
        </w:rPr>
        <w:t>EDA</w:t>
      </w:r>
      <w:r>
        <w:rPr>
          <w:rFonts w:hint="eastAsia" w:eastAsia="仿宋_GB2312"/>
          <w:bCs/>
          <w:sz w:val="32"/>
          <w:szCs w:val="32"/>
          <w:lang w:eastAsia="zh-CN"/>
        </w:rPr>
        <w:t>厂商之间授予各自</w:t>
      </w:r>
      <w:r>
        <w:rPr>
          <w:rFonts w:eastAsia="仿宋_GB2312"/>
          <w:bCs/>
          <w:sz w:val="32"/>
          <w:szCs w:val="32"/>
          <w:lang w:eastAsia="zh-CN"/>
        </w:rPr>
        <w:t>EDA</w:t>
      </w:r>
      <w:r>
        <w:rPr>
          <w:rFonts w:hint="eastAsia" w:eastAsia="仿宋_GB2312"/>
          <w:bCs/>
          <w:sz w:val="32"/>
          <w:szCs w:val="32"/>
          <w:lang w:eastAsia="zh-CN"/>
        </w:rPr>
        <w:t>产品的软件许可，其唯一目的为开发、测试、支持或维护其各自产品之间的互操作性。</w:t>
      </w:r>
    </w:p>
    <w:p>
      <w:pPr>
        <w:widowControl w:val="0"/>
        <w:autoSpaceDE/>
        <w:autoSpaceDN/>
        <w:adjustRightInd/>
        <w:spacing w:after="120" w:line="360" w:lineRule="auto"/>
        <w:ind w:firstLine="642" w:firstLineChars="200"/>
        <w:rPr>
          <w:rFonts w:eastAsia="仿宋_GB2312"/>
          <w:bCs/>
          <w:sz w:val="32"/>
          <w:szCs w:val="32"/>
          <w:lang w:eastAsia="zh-CN"/>
        </w:rPr>
      </w:pPr>
      <w:r>
        <w:rPr>
          <w:rFonts w:eastAsia="仿宋_GB2312"/>
          <w:b/>
          <w:sz w:val="32"/>
          <w:szCs w:val="32"/>
          <w:lang w:eastAsia="zh-CN"/>
        </w:rPr>
        <w:t>监督受托人</w:t>
      </w:r>
      <w:r>
        <w:rPr>
          <w:rFonts w:eastAsia="仿宋_GB2312"/>
          <w:bCs/>
          <w:sz w:val="32"/>
          <w:szCs w:val="32"/>
          <w:lang w:eastAsia="zh-CN"/>
        </w:rPr>
        <w:t>：符合《经营者集中审查规定》第四十四条的规定，由交易双方和集中后实体委托并经市场监管总局评估确定，负责对交易双方或集中后实体实施限制性条件进行监督并向市场监管总局报告的自然人、法人或其他组织。</w:t>
      </w:r>
    </w:p>
    <w:p>
      <w:pPr>
        <w:widowControl w:val="0"/>
        <w:autoSpaceDE/>
        <w:autoSpaceDN/>
        <w:adjustRightInd/>
        <w:spacing w:after="120" w:line="360" w:lineRule="auto"/>
        <w:ind w:firstLine="642" w:firstLineChars="200"/>
        <w:rPr>
          <w:rFonts w:eastAsia="仿宋_GB2312"/>
          <w:bCs/>
          <w:sz w:val="32"/>
          <w:szCs w:val="32"/>
          <w:lang w:eastAsia="zh-CN"/>
        </w:rPr>
      </w:pPr>
      <w:r>
        <w:rPr>
          <w:rFonts w:eastAsia="仿宋_GB2312"/>
          <w:b/>
          <w:sz w:val="32"/>
          <w:szCs w:val="32"/>
          <w:lang w:eastAsia="zh-CN"/>
        </w:rPr>
        <w:t>决定</w:t>
      </w:r>
      <w:r>
        <w:rPr>
          <w:rFonts w:eastAsia="仿宋_GB2312"/>
          <w:bCs/>
          <w:sz w:val="32"/>
          <w:szCs w:val="32"/>
          <w:lang w:eastAsia="zh-CN"/>
        </w:rPr>
        <w:t>：市场监管总局附加限制性条件批准本交易的决定。</w:t>
      </w:r>
    </w:p>
    <w:p>
      <w:pPr>
        <w:widowControl w:val="0"/>
        <w:autoSpaceDE/>
        <w:autoSpaceDN/>
        <w:adjustRightInd/>
        <w:spacing w:after="120" w:line="360" w:lineRule="auto"/>
        <w:ind w:firstLine="642" w:firstLineChars="200"/>
        <w:rPr>
          <w:rFonts w:eastAsia="仿宋_GB2312"/>
          <w:bCs/>
          <w:sz w:val="32"/>
          <w:szCs w:val="32"/>
          <w:lang w:eastAsia="zh-CN"/>
        </w:rPr>
      </w:pPr>
      <w:r>
        <w:rPr>
          <w:rFonts w:eastAsia="仿宋_GB2312"/>
          <w:b/>
          <w:sz w:val="32"/>
          <w:szCs w:val="32"/>
          <w:lang w:eastAsia="zh-CN"/>
        </w:rPr>
        <w:t>生效日</w:t>
      </w:r>
      <w:r>
        <w:rPr>
          <w:rFonts w:eastAsia="仿宋_GB2312"/>
          <w:bCs/>
          <w:sz w:val="32"/>
          <w:szCs w:val="32"/>
          <w:lang w:eastAsia="zh-CN"/>
        </w:rPr>
        <w:t>：决定通过的日期。</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交割</w:t>
      </w:r>
      <w:r>
        <w:rPr>
          <w:rFonts w:eastAsia="仿宋_GB2312"/>
          <w:bCs/>
          <w:sz w:val="32"/>
          <w:szCs w:val="32"/>
          <w:lang w:eastAsia="zh-CN"/>
        </w:rPr>
        <w:t>：</w:t>
      </w:r>
      <w:r>
        <w:rPr>
          <w:rFonts w:hint="eastAsia" w:eastAsia="仿宋_GB2312"/>
          <w:bCs/>
          <w:sz w:val="32"/>
          <w:szCs w:val="32"/>
          <w:lang w:eastAsia="zh-CN"/>
        </w:rPr>
        <w:t>向剥离买方转让剥离业务的法定所有权。</w:t>
      </w:r>
    </w:p>
    <w:p>
      <w:pPr>
        <w:widowControl w:val="0"/>
        <w:autoSpaceDE/>
        <w:autoSpaceDN/>
        <w:adjustRightInd/>
        <w:spacing w:after="120" w:line="360" w:lineRule="auto"/>
        <w:ind w:firstLine="642" w:firstLineChars="200"/>
        <w:rPr>
          <w:rFonts w:eastAsia="仿宋_GB2312"/>
          <w:b/>
          <w:sz w:val="32"/>
          <w:szCs w:val="32"/>
          <w:lang w:eastAsia="zh-CN"/>
        </w:rPr>
      </w:pPr>
      <w:r>
        <w:rPr>
          <w:rFonts w:hint="eastAsia" w:eastAsia="仿宋_GB2312"/>
          <w:b/>
          <w:sz w:val="32"/>
          <w:szCs w:val="32"/>
          <w:lang w:eastAsia="zh-CN"/>
        </w:rPr>
        <w:t>保持独立管理人</w:t>
      </w:r>
      <w:r>
        <w:rPr>
          <w:rFonts w:eastAsia="仿宋_GB2312"/>
          <w:bCs/>
          <w:sz w:val="32"/>
          <w:szCs w:val="32"/>
          <w:lang w:eastAsia="zh-CN"/>
        </w:rPr>
        <w:t>：</w:t>
      </w:r>
      <w:r>
        <w:rPr>
          <w:rFonts w:hint="eastAsia" w:eastAsia="仿宋_GB2312"/>
          <w:bCs/>
          <w:sz w:val="32"/>
          <w:szCs w:val="32"/>
          <w:lang w:eastAsia="zh-CN"/>
        </w:rPr>
        <w:t>由新思科技和安似科技任命的管理剥离业务日常经营的人员。</w:t>
      </w:r>
    </w:p>
    <w:p>
      <w:pPr>
        <w:pStyle w:val="36"/>
        <w:spacing w:after="120" w:line="360" w:lineRule="auto"/>
        <w:ind w:firstLine="640"/>
        <w:rPr>
          <w:rFonts w:eastAsia="仿宋_GB2312"/>
          <w:bCs/>
          <w:sz w:val="32"/>
          <w:szCs w:val="32"/>
          <w:lang w:eastAsia="zh-CN"/>
        </w:rPr>
      </w:pPr>
    </w:p>
    <w:p>
      <w:pPr>
        <w:autoSpaceDE/>
        <w:autoSpaceDN/>
        <w:adjustRightInd/>
        <w:spacing w:after="120" w:line="360" w:lineRule="auto"/>
        <w:jc w:val="center"/>
        <w:rPr>
          <w:rFonts w:eastAsia="仿宋_GB2312"/>
          <w:b/>
          <w:kern w:val="2"/>
          <w:sz w:val="32"/>
          <w:szCs w:val="32"/>
          <w:lang w:eastAsia="zh-CN"/>
        </w:rPr>
      </w:pPr>
      <w:r>
        <w:rPr>
          <w:rFonts w:hint="eastAsia" w:eastAsia="仿宋_GB2312"/>
          <w:b/>
          <w:kern w:val="2"/>
          <w:sz w:val="32"/>
          <w:szCs w:val="32"/>
          <w:lang w:eastAsia="zh-CN"/>
        </w:rPr>
        <w:t>第二部分 限制性条件</w:t>
      </w:r>
    </w:p>
    <w:p>
      <w:pPr>
        <w:pStyle w:val="36"/>
        <w:spacing w:line="360" w:lineRule="auto"/>
        <w:ind w:left="640"/>
        <w:contextualSpacing w:val="0"/>
        <w:jc w:val="both"/>
        <w:rPr>
          <w:rFonts w:eastAsia="仿宋_GB2312"/>
          <w:b/>
          <w:bCs/>
          <w:sz w:val="32"/>
          <w:szCs w:val="32"/>
          <w:u w:val="single"/>
          <w:lang w:eastAsia="zh-CN"/>
        </w:rPr>
      </w:pPr>
      <w:r>
        <w:rPr>
          <w:rFonts w:hint="eastAsia" w:eastAsia="仿宋_GB2312"/>
          <w:b/>
          <w:bCs/>
          <w:sz w:val="32"/>
          <w:szCs w:val="32"/>
          <w:u w:val="single"/>
          <w:lang w:eastAsia="zh-CN"/>
        </w:rPr>
        <w:t>剥离承诺</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交易双方和集中后实体承诺按照</w:t>
      </w:r>
      <w:r>
        <w:rPr>
          <w:rFonts w:eastAsia="仿宋_GB2312"/>
          <w:kern w:val="2"/>
          <w:sz w:val="32"/>
          <w:szCs w:val="32"/>
          <w:lang w:eastAsia="zh-CN"/>
        </w:rPr>
        <w:t>《经营者集中审查规定》</w:t>
      </w:r>
      <w:r>
        <w:rPr>
          <w:rFonts w:hint="eastAsia" w:eastAsia="仿宋_GB2312"/>
          <w:kern w:val="2"/>
          <w:sz w:val="32"/>
          <w:szCs w:val="32"/>
          <w:lang w:eastAsia="zh-CN"/>
        </w:rPr>
        <w:t>并基于市场监管总局批准的出售条款向合适的买方剥离</w:t>
      </w:r>
      <w:r>
        <w:rPr>
          <w:rFonts w:hint="eastAsia" w:eastAsia="仿宋_GB2312"/>
          <w:sz w:val="32"/>
          <w:szCs w:val="32"/>
          <w:lang w:eastAsia="zh-CN"/>
        </w:rPr>
        <w:t>光学解决方案剥离业务。交易双方和集中后实体应在生效日后【保密】内完成剥离。</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交易双方和集中后实体承诺按照</w:t>
      </w:r>
      <w:r>
        <w:rPr>
          <w:rFonts w:eastAsia="仿宋_GB2312"/>
          <w:kern w:val="2"/>
          <w:sz w:val="32"/>
          <w:szCs w:val="32"/>
          <w:lang w:eastAsia="zh-CN"/>
        </w:rPr>
        <w:t>《经营者集中审查规定》</w:t>
      </w:r>
      <w:r>
        <w:rPr>
          <w:rFonts w:hint="eastAsia" w:eastAsia="仿宋_GB2312"/>
          <w:kern w:val="2"/>
          <w:sz w:val="32"/>
          <w:szCs w:val="32"/>
          <w:lang w:eastAsia="zh-CN"/>
        </w:rPr>
        <w:t>并基于市场监管总局批准的出售条款向合适的买方剥离</w:t>
      </w:r>
      <w:r>
        <w:rPr>
          <w:rFonts w:hint="eastAsia" w:eastAsia="仿宋_GB2312"/>
          <w:sz w:val="32"/>
          <w:szCs w:val="32"/>
          <w:lang w:eastAsia="zh-CN"/>
        </w:rPr>
        <w:t>功耗分析剥离业务。交易双方和集中后实体应在生效日后【保密】内完成剥离。</w:t>
      </w:r>
    </w:p>
    <w:p>
      <w:pPr>
        <w:pStyle w:val="36"/>
        <w:spacing w:line="360" w:lineRule="auto"/>
        <w:ind w:left="640"/>
        <w:contextualSpacing w:val="0"/>
        <w:jc w:val="both"/>
        <w:rPr>
          <w:rFonts w:eastAsia="仿宋_GB2312"/>
          <w:sz w:val="32"/>
          <w:szCs w:val="32"/>
          <w:u w:val="single"/>
          <w:lang w:eastAsia="zh-CN"/>
        </w:rPr>
      </w:pPr>
      <w:r>
        <w:rPr>
          <w:rFonts w:hint="eastAsia" w:eastAsia="仿宋_GB2312"/>
          <w:sz w:val="32"/>
          <w:szCs w:val="32"/>
          <w:u w:val="single"/>
          <w:lang w:eastAsia="zh-CN"/>
        </w:rPr>
        <w:t>剥离业务范围</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光学解决方案剥离业务（如上文所定义，内容详见</w:t>
      </w:r>
      <w:r>
        <w:rPr>
          <w:rFonts w:hint="eastAsia" w:eastAsia="仿宋_GB2312"/>
          <w:b/>
          <w:bCs/>
          <w:sz w:val="32"/>
          <w:szCs w:val="32"/>
          <w:lang w:eastAsia="zh-CN"/>
        </w:rPr>
        <w:t>附录【保密】</w:t>
      </w:r>
      <w:r>
        <w:rPr>
          <w:rFonts w:hint="eastAsia" w:eastAsia="仿宋_GB2312"/>
          <w:sz w:val="32"/>
          <w:szCs w:val="32"/>
          <w:lang w:eastAsia="zh-CN"/>
        </w:rPr>
        <w:t>）包括维持光学解决方案剥离业务当前运营、确保光学解决方案剥离业务的存续性和竞争性所必需的所有资产，具体包括：</w:t>
      </w:r>
    </w:p>
    <w:p>
      <w:pPr>
        <w:pStyle w:val="36"/>
        <w:numPr>
          <w:ilvl w:val="0"/>
          <w:numId w:val="3"/>
        </w:numPr>
        <w:spacing w:line="360" w:lineRule="auto"/>
        <w:contextualSpacing w:val="0"/>
        <w:jc w:val="both"/>
        <w:rPr>
          <w:rFonts w:eastAsia="仿宋_GB2312"/>
          <w:sz w:val="32"/>
          <w:szCs w:val="32"/>
          <w:lang w:eastAsia="zh-CN"/>
        </w:rPr>
      </w:pPr>
      <w:r>
        <w:rPr>
          <w:rFonts w:hint="eastAsia" w:eastAsia="仿宋_GB2312"/>
          <w:sz w:val="32"/>
          <w:szCs w:val="32"/>
          <w:lang w:eastAsia="zh-CN"/>
        </w:rPr>
        <w:t>所有有形资产和无形资产（包括知识产权）；</w:t>
      </w:r>
    </w:p>
    <w:p>
      <w:pPr>
        <w:pStyle w:val="36"/>
        <w:numPr>
          <w:ilvl w:val="0"/>
          <w:numId w:val="3"/>
        </w:numPr>
        <w:spacing w:line="360" w:lineRule="auto"/>
        <w:contextualSpacing w:val="0"/>
        <w:jc w:val="both"/>
        <w:rPr>
          <w:rFonts w:eastAsia="仿宋_GB2312"/>
          <w:sz w:val="32"/>
          <w:szCs w:val="32"/>
          <w:lang w:eastAsia="zh-CN"/>
        </w:rPr>
      </w:pPr>
      <w:r>
        <w:rPr>
          <w:rFonts w:hint="eastAsia" w:eastAsia="仿宋_GB2312"/>
          <w:sz w:val="32"/>
          <w:szCs w:val="32"/>
          <w:lang w:eastAsia="zh-CN"/>
        </w:rPr>
        <w:t>任何政府机构为光学解决方案剥离业务的权益颁发的所有许可、批准和授权；</w:t>
      </w:r>
    </w:p>
    <w:p>
      <w:pPr>
        <w:pStyle w:val="36"/>
        <w:numPr>
          <w:ilvl w:val="0"/>
          <w:numId w:val="3"/>
        </w:numPr>
        <w:spacing w:line="360" w:lineRule="auto"/>
        <w:contextualSpacing w:val="0"/>
        <w:jc w:val="both"/>
        <w:rPr>
          <w:rFonts w:eastAsia="仿宋_GB2312"/>
          <w:sz w:val="32"/>
          <w:szCs w:val="32"/>
          <w:lang w:eastAsia="zh-CN"/>
        </w:rPr>
      </w:pPr>
      <w:r>
        <w:rPr>
          <w:rFonts w:hint="eastAsia" w:eastAsia="仿宋_GB2312"/>
          <w:sz w:val="32"/>
          <w:szCs w:val="32"/>
          <w:lang w:eastAsia="zh-CN"/>
        </w:rPr>
        <w:t>光学解决方案剥离业务的所有合同、租约、承诺和客户订单；光学解决方案剥离业务的所有客户、信贷及其他记录；以及</w:t>
      </w:r>
    </w:p>
    <w:p>
      <w:pPr>
        <w:pStyle w:val="36"/>
        <w:numPr>
          <w:ilvl w:val="0"/>
          <w:numId w:val="3"/>
        </w:numPr>
        <w:spacing w:line="360" w:lineRule="auto"/>
        <w:contextualSpacing w:val="0"/>
        <w:jc w:val="both"/>
        <w:rPr>
          <w:rFonts w:eastAsia="仿宋_GB2312"/>
          <w:sz w:val="32"/>
          <w:szCs w:val="32"/>
          <w:lang w:eastAsia="zh-CN"/>
        </w:rPr>
      </w:pPr>
      <w:r>
        <w:rPr>
          <w:rFonts w:hint="eastAsia" w:eastAsia="仿宋_GB2312"/>
          <w:sz w:val="32"/>
          <w:szCs w:val="32"/>
          <w:lang w:eastAsia="zh-CN"/>
        </w:rPr>
        <w:t>人员。</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功耗分析剥离业务（如上文所定义，内容详见</w:t>
      </w:r>
      <w:r>
        <w:rPr>
          <w:rFonts w:hint="eastAsia" w:eastAsia="仿宋_GB2312"/>
          <w:b/>
          <w:bCs/>
          <w:sz w:val="32"/>
          <w:szCs w:val="32"/>
          <w:lang w:eastAsia="zh-CN"/>
        </w:rPr>
        <w:t>附录【保密】</w:t>
      </w:r>
      <w:r>
        <w:rPr>
          <w:rFonts w:hint="eastAsia" w:eastAsia="仿宋_GB2312"/>
          <w:sz w:val="32"/>
          <w:szCs w:val="32"/>
          <w:lang w:eastAsia="zh-CN"/>
        </w:rPr>
        <w:t>）包括确保功耗分析剥离业务的存续性和竞争性所必需的所有资产，具体而言：</w:t>
      </w:r>
    </w:p>
    <w:p>
      <w:pPr>
        <w:pStyle w:val="36"/>
        <w:numPr>
          <w:ilvl w:val="0"/>
          <w:numId w:val="4"/>
        </w:numPr>
        <w:spacing w:line="360" w:lineRule="auto"/>
        <w:contextualSpacing w:val="0"/>
        <w:jc w:val="both"/>
        <w:rPr>
          <w:rFonts w:eastAsia="仿宋_GB2312"/>
          <w:sz w:val="32"/>
          <w:szCs w:val="32"/>
          <w:lang w:eastAsia="zh-CN"/>
        </w:rPr>
      </w:pPr>
      <w:r>
        <w:rPr>
          <w:rFonts w:hint="eastAsia" w:eastAsia="仿宋_GB2312"/>
          <w:sz w:val="32"/>
          <w:szCs w:val="32"/>
          <w:lang w:eastAsia="zh-CN"/>
        </w:rPr>
        <w:t>所有有形和无形资产（包括知识产权）；</w:t>
      </w:r>
    </w:p>
    <w:p>
      <w:pPr>
        <w:pStyle w:val="36"/>
        <w:numPr>
          <w:ilvl w:val="0"/>
          <w:numId w:val="4"/>
        </w:numPr>
        <w:spacing w:line="360" w:lineRule="auto"/>
        <w:contextualSpacing w:val="0"/>
        <w:jc w:val="both"/>
        <w:rPr>
          <w:rFonts w:eastAsia="仿宋_GB2312"/>
          <w:sz w:val="32"/>
          <w:szCs w:val="32"/>
          <w:lang w:eastAsia="zh-CN"/>
        </w:rPr>
      </w:pPr>
      <w:r>
        <w:rPr>
          <w:rFonts w:hint="eastAsia" w:eastAsia="仿宋_GB2312"/>
          <w:sz w:val="32"/>
          <w:szCs w:val="32"/>
          <w:lang w:eastAsia="zh-CN"/>
        </w:rPr>
        <w:t>任何政府机构为功耗分析剥离业务的权益颁发的所有许可、批准和授权；</w:t>
      </w:r>
    </w:p>
    <w:p>
      <w:pPr>
        <w:pStyle w:val="36"/>
        <w:numPr>
          <w:ilvl w:val="0"/>
          <w:numId w:val="4"/>
        </w:numPr>
        <w:spacing w:line="360" w:lineRule="auto"/>
        <w:contextualSpacing w:val="0"/>
        <w:jc w:val="both"/>
        <w:rPr>
          <w:rFonts w:eastAsia="仿宋_GB2312"/>
          <w:sz w:val="32"/>
          <w:szCs w:val="32"/>
          <w:lang w:eastAsia="zh-CN"/>
        </w:rPr>
      </w:pPr>
      <w:r>
        <w:rPr>
          <w:rFonts w:hint="eastAsia" w:eastAsia="仿宋_GB2312"/>
          <w:sz w:val="32"/>
          <w:szCs w:val="32"/>
          <w:lang w:eastAsia="zh-CN"/>
        </w:rPr>
        <w:t>功耗分析剥离业务的所有合同、租约、承诺和客户订单；功耗分析剥离业务的所有客户、信贷及其他记录；以及</w:t>
      </w:r>
    </w:p>
    <w:p>
      <w:pPr>
        <w:pStyle w:val="36"/>
        <w:numPr>
          <w:ilvl w:val="0"/>
          <w:numId w:val="4"/>
        </w:numPr>
        <w:spacing w:line="360" w:lineRule="auto"/>
        <w:contextualSpacing w:val="0"/>
        <w:jc w:val="both"/>
        <w:rPr>
          <w:rFonts w:eastAsia="仿宋_GB2312"/>
          <w:sz w:val="32"/>
          <w:szCs w:val="32"/>
          <w:lang w:eastAsia="zh-CN"/>
        </w:rPr>
      </w:pPr>
      <w:r>
        <w:rPr>
          <w:rFonts w:hint="eastAsia" w:eastAsia="仿宋_GB2312"/>
          <w:sz w:val="32"/>
          <w:szCs w:val="32"/>
          <w:lang w:eastAsia="zh-CN"/>
        </w:rPr>
        <w:t>人员。</w:t>
      </w:r>
    </w:p>
    <w:p>
      <w:pPr>
        <w:pStyle w:val="36"/>
        <w:spacing w:line="360" w:lineRule="auto"/>
        <w:ind w:left="640"/>
        <w:contextualSpacing w:val="0"/>
        <w:jc w:val="both"/>
        <w:rPr>
          <w:rFonts w:eastAsia="仿宋_GB2312"/>
          <w:sz w:val="32"/>
          <w:szCs w:val="32"/>
          <w:u w:val="single"/>
          <w:lang w:eastAsia="zh-CN"/>
        </w:rPr>
      </w:pPr>
      <w:r>
        <w:rPr>
          <w:rFonts w:hint="eastAsia" w:eastAsia="仿宋_GB2312"/>
          <w:sz w:val="32"/>
          <w:szCs w:val="32"/>
          <w:u w:val="single"/>
          <w:lang w:eastAsia="zh-CN"/>
        </w:rPr>
        <w:t>过渡性服务</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除非与剥离买方另有约定，光学解决方案剥离业务包括如</w:t>
      </w:r>
      <w:r>
        <w:rPr>
          <w:rFonts w:hint="eastAsia" w:eastAsia="仿宋_GB2312"/>
          <w:b/>
          <w:bCs/>
          <w:sz w:val="32"/>
          <w:szCs w:val="32"/>
          <w:lang w:eastAsia="zh-CN"/>
        </w:rPr>
        <w:t>附录【保密】</w:t>
      </w:r>
      <w:r>
        <w:rPr>
          <w:rFonts w:hint="eastAsia" w:eastAsia="仿宋_GB2312"/>
          <w:sz w:val="32"/>
          <w:szCs w:val="32"/>
          <w:lang w:eastAsia="zh-CN"/>
        </w:rPr>
        <w:t>所详述的所有当前由新思科技或其关联实体向光学解决方案剥离业务提供产品或服务安排的相关利益。该等利益应在</w:t>
      </w:r>
      <w:r>
        <w:rPr>
          <w:rFonts w:hint="eastAsia" w:eastAsia="仿宋_GB2312"/>
          <w:b/>
          <w:bCs/>
          <w:sz w:val="32"/>
          <w:szCs w:val="32"/>
          <w:lang w:eastAsia="zh-CN"/>
        </w:rPr>
        <w:t>附录【保密】</w:t>
      </w:r>
      <w:r>
        <w:rPr>
          <w:rFonts w:hint="eastAsia" w:eastAsia="仿宋_GB2312"/>
          <w:sz w:val="32"/>
          <w:szCs w:val="32"/>
          <w:lang w:eastAsia="zh-CN"/>
        </w:rPr>
        <w:t>所详述的过渡期内适用，并基于与目前提供给光学解决方案剥离业务相同的条款和条件。严格的信息隔离措施将被采取，以确保与该等供应安排相关或由此产生的任何具有竞争敏感性的信息（例如产品路线图）不会被分享或传递给为履行本承诺方案之目的以外的任何人。</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除非与剥离买方另有约定，功耗分析剥离业务包括如</w:t>
      </w:r>
      <w:r>
        <w:rPr>
          <w:rFonts w:hint="eastAsia" w:eastAsia="仿宋_GB2312"/>
          <w:b/>
          <w:bCs/>
          <w:sz w:val="32"/>
          <w:szCs w:val="32"/>
          <w:lang w:eastAsia="zh-CN"/>
        </w:rPr>
        <w:t>附录【保密】</w:t>
      </w:r>
      <w:r>
        <w:rPr>
          <w:rFonts w:hint="eastAsia" w:eastAsia="仿宋_GB2312"/>
          <w:sz w:val="32"/>
          <w:szCs w:val="32"/>
          <w:lang w:eastAsia="zh-CN"/>
        </w:rPr>
        <w:t>所详述的所有当前由安似科技或其关联实体向功耗分析剥离业务提供产品或服务安排的相关利益。该等利益应在</w:t>
      </w:r>
      <w:r>
        <w:rPr>
          <w:rFonts w:hint="eastAsia" w:eastAsia="仿宋_GB2312"/>
          <w:b/>
          <w:bCs/>
          <w:sz w:val="32"/>
          <w:szCs w:val="32"/>
          <w:lang w:eastAsia="zh-CN"/>
        </w:rPr>
        <w:t>附录【保密】</w:t>
      </w:r>
      <w:r>
        <w:rPr>
          <w:rFonts w:hint="eastAsia" w:eastAsia="仿宋_GB2312"/>
          <w:sz w:val="32"/>
          <w:szCs w:val="32"/>
          <w:lang w:eastAsia="zh-CN"/>
        </w:rPr>
        <w:t>所详述的过渡期内适用，并基于与目前提供给功耗分析剥离业务相同的条款和条件。严格的信息隔离措施将被采取，以确保与该等供应安排相关或由此产生的任何具有竞争敏感性的信息（例如产品路线图）不会被分享或传递给为履行本承诺方案之目的以外的任何人。</w:t>
      </w:r>
    </w:p>
    <w:p>
      <w:pPr>
        <w:pStyle w:val="36"/>
        <w:spacing w:line="360" w:lineRule="auto"/>
        <w:ind w:left="640"/>
        <w:contextualSpacing w:val="0"/>
        <w:jc w:val="both"/>
        <w:rPr>
          <w:rFonts w:eastAsia="仿宋_GB2312"/>
          <w:sz w:val="32"/>
          <w:szCs w:val="32"/>
          <w:u w:val="single"/>
          <w:lang w:eastAsia="zh-CN"/>
        </w:rPr>
      </w:pPr>
      <w:r>
        <w:rPr>
          <w:rFonts w:hint="eastAsia" w:eastAsia="仿宋_GB2312"/>
          <w:sz w:val="32"/>
          <w:szCs w:val="32"/>
          <w:u w:val="single"/>
          <w:lang w:eastAsia="zh-CN"/>
        </w:rPr>
        <w:t>相关承诺</w:t>
      </w:r>
    </w:p>
    <w:p>
      <w:pPr>
        <w:pStyle w:val="36"/>
        <w:spacing w:line="360" w:lineRule="auto"/>
        <w:ind w:left="640"/>
        <w:contextualSpacing w:val="0"/>
        <w:jc w:val="both"/>
        <w:rPr>
          <w:rFonts w:eastAsia="仿宋_GB2312"/>
          <w:i/>
          <w:iCs/>
          <w:sz w:val="32"/>
          <w:szCs w:val="32"/>
          <w:lang w:eastAsia="zh-CN"/>
        </w:rPr>
      </w:pPr>
      <w:r>
        <w:rPr>
          <w:rFonts w:hint="eastAsia" w:eastAsia="仿宋_GB2312"/>
          <w:i/>
          <w:iCs/>
          <w:sz w:val="32"/>
          <w:szCs w:val="32"/>
          <w:lang w:eastAsia="zh-CN"/>
        </w:rPr>
        <w:t>保持存续性、可销售性和竞争性</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自生效日起直至交割，新思科技和安似科技应根据过往惯例保持或促使相关实体保持剥离业务的经济存续性、可销售性和竞争性，并应尽可能降低减损剥离业务竞争潜力的任何风险。具体而言，新思科技和安似科技承诺：</w:t>
      </w:r>
    </w:p>
    <w:p>
      <w:pPr>
        <w:pStyle w:val="36"/>
        <w:numPr>
          <w:ilvl w:val="0"/>
          <w:numId w:val="5"/>
        </w:numPr>
        <w:spacing w:line="360" w:lineRule="auto"/>
        <w:contextualSpacing w:val="0"/>
        <w:jc w:val="both"/>
        <w:rPr>
          <w:rFonts w:eastAsia="仿宋_GB2312"/>
          <w:sz w:val="32"/>
          <w:szCs w:val="32"/>
          <w:lang w:eastAsia="zh-CN"/>
        </w:rPr>
      </w:pPr>
      <w:r>
        <w:rPr>
          <w:rFonts w:hint="eastAsia" w:eastAsia="仿宋_GB2312"/>
          <w:sz w:val="32"/>
          <w:szCs w:val="32"/>
          <w:lang w:eastAsia="zh-CN"/>
        </w:rPr>
        <w:t>不采取任何可能对剥离业务的价值、管理或竞争性产生重大不利影响的行为，或者可能改变剥离业务的经营性质和范围、行业与商业战略或投资政策的行为；</w:t>
      </w:r>
    </w:p>
    <w:p>
      <w:pPr>
        <w:pStyle w:val="36"/>
        <w:numPr>
          <w:ilvl w:val="0"/>
          <w:numId w:val="5"/>
        </w:numPr>
        <w:spacing w:line="360" w:lineRule="auto"/>
        <w:contextualSpacing w:val="0"/>
        <w:jc w:val="both"/>
        <w:rPr>
          <w:rFonts w:eastAsia="仿宋_GB2312"/>
          <w:sz w:val="32"/>
          <w:szCs w:val="32"/>
          <w:lang w:eastAsia="zh-CN"/>
        </w:rPr>
      </w:pPr>
      <w:r>
        <w:rPr>
          <w:rFonts w:hint="eastAsia" w:eastAsia="仿宋_GB2312"/>
          <w:sz w:val="32"/>
          <w:szCs w:val="32"/>
          <w:lang w:eastAsia="zh-CN"/>
        </w:rPr>
        <w:t>根据并延续现有的业务计划，为剥离业务的发展提供或促使相关实体提供充足资源；以及</w:t>
      </w:r>
    </w:p>
    <w:p>
      <w:pPr>
        <w:pStyle w:val="36"/>
        <w:numPr>
          <w:ilvl w:val="0"/>
          <w:numId w:val="5"/>
        </w:numPr>
        <w:spacing w:line="360" w:lineRule="auto"/>
        <w:contextualSpacing w:val="0"/>
        <w:jc w:val="both"/>
        <w:rPr>
          <w:rFonts w:eastAsia="仿宋_GB2312"/>
          <w:sz w:val="32"/>
          <w:szCs w:val="32"/>
          <w:lang w:eastAsia="zh-CN"/>
        </w:rPr>
      </w:pPr>
      <w:r>
        <w:rPr>
          <w:rFonts w:hint="eastAsia" w:eastAsia="仿宋_GB2312"/>
          <w:sz w:val="32"/>
          <w:szCs w:val="32"/>
          <w:lang w:eastAsia="zh-CN"/>
        </w:rPr>
        <w:t>采取或促使相关实体采取一切合理措施（包括基于行业惯例的适当激励计划），以鼓励所有关键人员继续在剥离业务中留任，并且不招揽或转移任何关键人员至新思科技或安似科技的保留业务。</w:t>
      </w:r>
    </w:p>
    <w:p>
      <w:pPr>
        <w:pStyle w:val="36"/>
        <w:spacing w:line="360" w:lineRule="auto"/>
        <w:ind w:left="640"/>
        <w:contextualSpacing w:val="0"/>
        <w:jc w:val="both"/>
        <w:rPr>
          <w:rFonts w:eastAsia="仿宋_GB2312"/>
          <w:i/>
          <w:iCs/>
          <w:sz w:val="32"/>
          <w:szCs w:val="32"/>
          <w:lang w:eastAsia="zh-CN"/>
        </w:rPr>
      </w:pPr>
      <w:r>
        <w:rPr>
          <w:rFonts w:hint="eastAsia" w:eastAsia="仿宋_GB2312"/>
          <w:i/>
          <w:iCs/>
          <w:sz w:val="32"/>
          <w:szCs w:val="32"/>
          <w:lang w:eastAsia="zh-CN"/>
        </w:rPr>
        <w:t>保持独立义务</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新思科技和安似科技承诺，自生效日起直至交割，其将确保剥离业务独立于新思科技和安似科技的保留业务，除本承诺方案明确允许外：（</w:t>
      </w:r>
      <w:r>
        <w:rPr>
          <w:rFonts w:eastAsia="仿宋_GB2312"/>
          <w:sz w:val="32"/>
          <w:szCs w:val="32"/>
          <w:lang w:eastAsia="zh-CN"/>
        </w:rPr>
        <w:t>1</w:t>
      </w:r>
      <w:r>
        <w:rPr>
          <w:rFonts w:hint="eastAsia" w:eastAsia="仿宋_GB2312"/>
          <w:sz w:val="32"/>
          <w:szCs w:val="32"/>
          <w:lang w:eastAsia="zh-CN"/>
        </w:rPr>
        <w:t>）新思科技或安似科技保留业务的管理层及员工不参与剥离业务；以及（</w:t>
      </w:r>
      <w:r>
        <w:rPr>
          <w:rFonts w:eastAsia="仿宋_GB2312"/>
          <w:sz w:val="32"/>
          <w:szCs w:val="32"/>
          <w:lang w:eastAsia="zh-CN"/>
        </w:rPr>
        <w:t>2</w:t>
      </w:r>
      <w:r>
        <w:rPr>
          <w:rFonts w:hint="eastAsia" w:eastAsia="仿宋_GB2312"/>
          <w:sz w:val="32"/>
          <w:szCs w:val="32"/>
          <w:lang w:eastAsia="zh-CN"/>
        </w:rPr>
        <w:t>）剥离业务的关键人员及人员不参与新思科技或安似科技的任何保留业务，且不向剥离业务之外的任何个人报告。</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新思科技和安似科技应确保将每项剥离业务作为独立且可供出售的实体，并独立于新思科技或安似科技的保留业务予以管理，直至完成交割。在决定作出之后，由新思科技或安似科技委任的、并作为关键人员一员的保持独立管理人应独立管理每项剥离业务，维护剥离业务的最佳利益，以确保剥离业务持续的经济存续性、可销售性和竞争性，并使剥离业务独立于新思科技或安似科技的保留业务。</w:t>
      </w:r>
    </w:p>
    <w:p>
      <w:pPr>
        <w:pStyle w:val="36"/>
        <w:spacing w:line="360" w:lineRule="auto"/>
        <w:ind w:left="640"/>
        <w:contextualSpacing w:val="0"/>
        <w:jc w:val="both"/>
        <w:rPr>
          <w:rFonts w:eastAsia="仿宋_GB2312"/>
          <w:i/>
          <w:iCs/>
          <w:sz w:val="32"/>
          <w:szCs w:val="32"/>
          <w:lang w:eastAsia="zh-CN"/>
        </w:rPr>
      </w:pPr>
      <w:r>
        <w:rPr>
          <w:rFonts w:hint="eastAsia" w:eastAsia="仿宋_GB2312"/>
          <w:i/>
          <w:iCs/>
          <w:sz w:val="32"/>
          <w:szCs w:val="32"/>
          <w:lang w:eastAsia="zh-CN"/>
        </w:rPr>
        <w:t>信息隔离</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新思科技和安似科技应采取或促使相关实体采取所有必要措施，以确保新思科技或安似科技自生效日起不会获得与剥离业务相关的任何保密信息，且新思科技或安似科技在生效日前获得的任何该等保密信息将不再由其使用。这包括针对新思科技或安似科技指派至每项剥离业务的监事会和</w:t>
      </w:r>
      <w:r>
        <w:rPr>
          <w:rFonts w:eastAsia="仿宋_GB2312"/>
          <w:sz w:val="32"/>
          <w:szCs w:val="32"/>
          <w:lang w:eastAsia="zh-CN"/>
        </w:rPr>
        <w:t>/</w:t>
      </w:r>
      <w:r>
        <w:rPr>
          <w:rFonts w:hint="eastAsia" w:eastAsia="仿宋_GB2312"/>
          <w:sz w:val="32"/>
          <w:szCs w:val="32"/>
          <w:lang w:eastAsia="zh-CN"/>
        </w:rPr>
        <w:t>或董事会成员所采取的相关措施。特别是，在不影响剥离业务或新思科技和安似科技保留业务的存续性的前提下，尽可能切断剥离业务对任何中央信息技术网络的参与。新思科技或安似科技可以获取或保留与剥离业务相关且1）对剥离业务的剥离而言合理必要或2）无法以保留信息实用性的方式进行分离的信息，或根据法律规定应向新思科技或安似科技披露的信息。</w:t>
      </w:r>
    </w:p>
    <w:p>
      <w:pPr>
        <w:pStyle w:val="36"/>
        <w:spacing w:line="360" w:lineRule="auto"/>
        <w:ind w:left="640"/>
        <w:contextualSpacing w:val="0"/>
        <w:jc w:val="both"/>
        <w:rPr>
          <w:rFonts w:eastAsia="仿宋_GB2312"/>
          <w:i/>
          <w:iCs/>
          <w:sz w:val="32"/>
          <w:szCs w:val="32"/>
          <w:lang w:eastAsia="zh-CN"/>
        </w:rPr>
      </w:pPr>
      <w:r>
        <w:rPr>
          <w:rFonts w:hint="eastAsia" w:eastAsia="仿宋_GB2312"/>
          <w:i/>
          <w:iCs/>
          <w:sz w:val="32"/>
          <w:szCs w:val="32"/>
          <w:lang w:eastAsia="zh-CN"/>
        </w:rPr>
        <w:t>不招揽条款</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交易双方和集中后实体承诺，受限于惯常限制条件，在交割后【保密】内不招揽且促使关联实体不招揽与剥离业务一起转移的关键人员。</w:t>
      </w:r>
    </w:p>
    <w:p>
      <w:pPr>
        <w:pStyle w:val="36"/>
        <w:spacing w:line="360" w:lineRule="auto"/>
        <w:ind w:left="640"/>
        <w:contextualSpacing w:val="0"/>
        <w:jc w:val="both"/>
        <w:rPr>
          <w:rFonts w:eastAsia="仿宋_GB2312"/>
          <w:i/>
          <w:iCs/>
          <w:sz w:val="32"/>
          <w:szCs w:val="32"/>
          <w:lang w:eastAsia="zh-CN"/>
        </w:rPr>
      </w:pPr>
      <w:r>
        <w:rPr>
          <w:rFonts w:hint="eastAsia" w:eastAsia="仿宋_GB2312"/>
          <w:i/>
          <w:iCs/>
          <w:sz w:val="32"/>
          <w:szCs w:val="32"/>
          <w:lang w:eastAsia="zh-CN"/>
        </w:rPr>
        <w:t>报告</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交易双方和集中后实体应向市场监管总局提交关于剥离买方的书面报告，并及时向市场监管总局汇报剥离进展。</w:t>
      </w:r>
    </w:p>
    <w:p>
      <w:pPr>
        <w:pStyle w:val="36"/>
        <w:spacing w:line="360" w:lineRule="auto"/>
        <w:ind w:left="640"/>
        <w:contextualSpacing w:val="0"/>
        <w:jc w:val="both"/>
        <w:rPr>
          <w:rFonts w:eastAsia="仿宋_GB2312"/>
          <w:sz w:val="32"/>
          <w:szCs w:val="32"/>
          <w:u w:val="single"/>
          <w:lang w:eastAsia="zh-CN"/>
        </w:rPr>
      </w:pPr>
      <w:r>
        <w:rPr>
          <w:rFonts w:hint="eastAsia" w:eastAsia="仿宋_GB2312"/>
          <w:sz w:val="32"/>
          <w:szCs w:val="32"/>
          <w:u w:val="single"/>
          <w:lang w:eastAsia="zh-CN"/>
        </w:rPr>
        <w:t>剥离买方</w:t>
      </w:r>
    </w:p>
    <w:p>
      <w:pPr>
        <w:spacing w:line="360" w:lineRule="auto"/>
        <w:ind w:left="360" w:firstLine="640" w:firstLineChars="200"/>
        <w:jc w:val="both"/>
        <w:rPr>
          <w:rFonts w:eastAsia="仿宋_GB2312"/>
          <w:sz w:val="32"/>
          <w:szCs w:val="32"/>
          <w:lang w:eastAsia="zh-CN"/>
        </w:rPr>
      </w:pPr>
      <w:r>
        <w:rPr>
          <w:rFonts w:hint="eastAsia" w:eastAsia="仿宋_GB2312"/>
          <w:sz w:val="32"/>
          <w:szCs w:val="32"/>
          <w:lang w:eastAsia="zh-CN"/>
        </w:rPr>
        <w:t>剥离买方必须符合《经营者集中审查规定》第四十六条规定的要求。</w:t>
      </w:r>
    </w:p>
    <w:p>
      <w:pPr>
        <w:pStyle w:val="36"/>
        <w:spacing w:line="360" w:lineRule="auto"/>
        <w:ind w:left="640"/>
        <w:contextualSpacing w:val="0"/>
        <w:jc w:val="both"/>
        <w:rPr>
          <w:rFonts w:eastAsia="仿宋_GB2312"/>
          <w:sz w:val="32"/>
          <w:szCs w:val="32"/>
          <w:lang w:eastAsia="zh-CN"/>
        </w:rPr>
      </w:pPr>
      <w:r>
        <w:rPr>
          <w:rFonts w:hint="eastAsia" w:eastAsia="仿宋_GB2312"/>
          <w:b/>
          <w:bCs/>
          <w:sz w:val="32"/>
          <w:szCs w:val="32"/>
          <w:u w:val="single"/>
          <w:lang w:eastAsia="zh-CN"/>
        </w:rPr>
        <w:t>非剥离承诺</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交易双方和集中后实体应遵守所有现有客户合同，包括价格和服务水平条款。</w:t>
      </w:r>
    </w:p>
    <w:p>
      <w:pPr>
        <w:pStyle w:val="36"/>
        <w:numPr>
          <w:ilvl w:val="0"/>
          <w:numId w:val="6"/>
        </w:numPr>
        <w:spacing w:line="360" w:lineRule="auto"/>
        <w:ind w:left="0" w:firstLine="425" w:firstLineChars="133"/>
        <w:contextualSpacing w:val="0"/>
        <w:jc w:val="both"/>
        <w:rPr>
          <w:rFonts w:eastAsia="仿宋_GB2312"/>
          <w:sz w:val="32"/>
          <w:szCs w:val="32"/>
          <w:lang w:eastAsia="zh-CN"/>
        </w:rPr>
      </w:pPr>
      <w:r>
        <w:rPr>
          <w:rFonts w:hint="eastAsia" w:eastAsia="仿宋_GB2312"/>
          <w:sz w:val="32"/>
          <w:szCs w:val="32"/>
          <w:lang w:eastAsia="zh-CN"/>
        </w:rPr>
        <w:t>除非相关中国客户自行终止现有客户合同，否则交易双方和集中后实体不得终止该等合同。</w:t>
      </w:r>
    </w:p>
    <w:p>
      <w:pPr>
        <w:pStyle w:val="36"/>
        <w:numPr>
          <w:ilvl w:val="0"/>
          <w:numId w:val="6"/>
        </w:numPr>
        <w:spacing w:line="360" w:lineRule="auto"/>
        <w:ind w:left="0" w:firstLine="425" w:firstLineChars="133"/>
        <w:contextualSpacing w:val="0"/>
        <w:jc w:val="both"/>
        <w:rPr>
          <w:rFonts w:eastAsia="仿宋_GB2312"/>
          <w:sz w:val="32"/>
          <w:szCs w:val="32"/>
          <w:lang w:eastAsia="zh-CN"/>
        </w:rPr>
      </w:pPr>
      <w:r>
        <w:rPr>
          <w:rFonts w:hint="eastAsia" w:eastAsia="仿宋_GB2312"/>
          <w:sz w:val="32"/>
          <w:szCs w:val="32"/>
          <w:lang w:eastAsia="zh-CN"/>
        </w:rPr>
        <w:t>无正当理由，交易双方和集中后实体不得拒绝中国客户提出的基于续签之时的现行市场条款和条件续签现有客户合同的要求。</w:t>
      </w:r>
    </w:p>
    <w:p>
      <w:pPr>
        <w:pStyle w:val="36"/>
        <w:numPr>
          <w:ilvl w:val="0"/>
          <w:numId w:val="6"/>
        </w:numPr>
        <w:spacing w:line="360" w:lineRule="auto"/>
        <w:ind w:left="0" w:firstLine="425" w:firstLineChars="133"/>
        <w:contextualSpacing w:val="0"/>
        <w:jc w:val="both"/>
        <w:rPr>
          <w:rFonts w:eastAsia="仿宋_GB2312"/>
          <w:sz w:val="32"/>
          <w:szCs w:val="32"/>
          <w:lang w:eastAsia="zh-CN"/>
        </w:rPr>
      </w:pPr>
      <w:r>
        <w:rPr>
          <w:rFonts w:hint="eastAsia" w:eastAsia="仿宋_GB2312"/>
          <w:sz w:val="32"/>
          <w:szCs w:val="32"/>
          <w:lang w:eastAsia="zh-CN"/>
        </w:rPr>
        <w:t>针对主要用于寄生分析、晶体管级电源完整性分析和功率器件分析的新思科技EDA产品和安似科技EDA产品，如果未来中国客户有需求，交易双方和集中后实体应确保公平、合理、无歧视的供应。</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向其中国客户销售安似科技相关EDA产品与新思科技相关EDA/设计IP产品</w:t>
      </w:r>
      <w:r>
        <w:rPr>
          <w:rFonts w:eastAsia="仿宋_GB2312"/>
          <w:sz w:val="32"/>
          <w:szCs w:val="32"/>
          <w:lang w:eastAsia="zh-CN"/>
        </w:rPr>
        <w:t>时，无正当理由，交易双方和集中后实体不得：</w:t>
      </w:r>
    </w:p>
    <w:p>
      <w:pPr>
        <w:pStyle w:val="36"/>
        <w:numPr>
          <w:ilvl w:val="0"/>
          <w:numId w:val="7"/>
        </w:numPr>
        <w:spacing w:line="360" w:lineRule="auto"/>
        <w:ind w:left="0" w:firstLine="425" w:firstLineChars="133"/>
        <w:contextualSpacing w:val="0"/>
        <w:jc w:val="both"/>
        <w:rPr>
          <w:rFonts w:eastAsia="仿宋_GB2312"/>
          <w:sz w:val="32"/>
          <w:szCs w:val="32"/>
          <w:lang w:eastAsia="zh-CN"/>
        </w:rPr>
      </w:pPr>
      <w:r>
        <w:rPr>
          <w:rFonts w:eastAsia="仿宋_GB2312"/>
          <w:sz w:val="32"/>
          <w:szCs w:val="32"/>
          <w:lang w:eastAsia="zh-CN"/>
        </w:rPr>
        <w:t>以任何方式</w:t>
      </w:r>
      <w:r>
        <w:rPr>
          <w:rFonts w:hint="eastAsia" w:eastAsia="仿宋_GB2312"/>
          <w:sz w:val="32"/>
          <w:szCs w:val="32"/>
          <w:lang w:eastAsia="zh-CN"/>
        </w:rPr>
        <w:t>对安似科技相关EDA产品与新思科技相关EDA/设计IP产品</w:t>
      </w:r>
      <w:r>
        <w:rPr>
          <w:rFonts w:eastAsia="仿宋_GB2312"/>
          <w:sz w:val="32"/>
          <w:szCs w:val="32"/>
          <w:lang w:eastAsia="zh-CN"/>
        </w:rPr>
        <w:t>进行搭售</w:t>
      </w:r>
      <w:r>
        <w:rPr>
          <w:rFonts w:hint="eastAsia" w:eastAsia="仿宋_GB2312"/>
          <w:sz w:val="32"/>
          <w:szCs w:val="32"/>
          <w:lang w:eastAsia="zh-CN"/>
        </w:rPr>
        <w:t>；</w:t>
      </w:r>
    </w:p>
    <w:p>
      <w:pPr>
        <w:pStyle w:val="36"/>
        <w:numPr>
          <w:ilvl w:val="0"/>
          <w:numId w:val="7"/>
        </w:numPr>
        <w:spacing w:line="360" w:lineRule="auto"/>
        <w:ind w:left="0" w:firstLine="425" w:firstLineChars="133"/>
        <w:contextualSpacing w:val="0"/>
        <w:jc w:val="both"/>
        <w:rPr>
          <w:rFonts w:eastAsia="仿宋_GB2312"/>
          <w:sz w:val="32"/>
          <w:szCs w:val="32"/>
          <w:lang w:eastAsia="zh-CN"/>
        </w:rPr>
      </w:pPr>
      <w:r>
        <w:rPr>
          <w:rFonts w:eastAsia="仿宋_GB2312"/>
          <w:sz w:val="32"/>
          <w:szCs w:val="32"/>
          <w:lang w:eastAsia="zh-CN"/>
        </w:rPr>
        <w:t>阻碍或限制客户单独购买</w:t>
      </w:r>
      <w:r>
        <w:rPr>
          <w:rFonts w:hint="eastAsia" w:eastAsia="仿宋_GB2312"/>
          <w:sz w:val="32"/>
          <w:szCs w:val="32"/>
          <w:lang w:eastAsia="zh-CN"/>
        </w:rPr>
        <w:t>或使用安似科技相关EDA产品与新思科技相关EDA/设计IP产品</w:t>
      </w:r>
      <w:r>
        <w:rPr>
          <w:rFonts w:eastAsia="仿宋_GB2312"/>
          <w:sz w:val="32"/>
          <w:szCs w:val="32"/>
          <w:lang w:eastAsia="zh-CN"/>
        </w:rPr>
        <w:t>；或</w:t>
      </w:r>
    </w:p>
    <w:p>
      <w:pPr>
        <w:pStyle w:val="36"/>
        <w:numPr>
          <w:ilvl w:val="0"/>
          <w:numId w:val="7"/>
        </w:numPr>
        <w:spacing w:line="360" w:lineRule="auto"/>
        <w:ind w:left="0" w:firstLine="425" w:firstLineChars="133"/>
        <w:contextualSpacing w:val="0"/>
        <w:jc w:val="both"/>
        <w:rPr>
          <w:rFonts w:eastAsia="仿宋_GB2312"/>
          <w:sz w:val="32"/>
          <w:szCs w:val="32"/>
          <w:lang w:eastAsia="zh-CN"/>
        </w:rPr>
      </w:pPr>
      <w:r>
        <w:rPr>
          <w:rFonts w:hint="eastAsia" w:eastAsia="仿宋_GB2312"/>
          <w:sz w:val="32"/>
          <w:szCs w:val="32"/>
          <w:lang w:eastAsia="zh-CN"/>
        </w:rPr>
        <w:t>与同时购买安似科技相关EDA产品与新思科技相关EDA/设计IP产品</w:t>
      </w:r>
      <w:r>
        <w:rPr>
          <w:rFonts w:eastAsia="仿宋_GB2312"/>
          <w:sz w:val="32"/>
          <w:szCs w:val="32"/>
          <w:lang w:eastAsia="zh-CN"/>
        </w:rPr>
        <w:t>的</w:t>
      </w:r>
      <w:r>
        <w:rPr>
          <w:rFonts w:hint="eastAsia" w:eastAsia="仿宋_GB2312"/>
          <w:sz w:val="32"/>
          <w:szCs w:val="32"/>
          <w:lang w:eastAsia="zh-CN"/>
        </w:rPr>
        <w:t>同等条件客户相比，</w:t>
      </w:r>
      <w:r>
        <w:rPr>
          <w:rFonts w:eastAsia="仿宋_GB2312"/>
          <w:sz w:val="32"/>
          <w:szCs w:val="32"/>
          <w:lang w:eastAsia="zh-CN"/>
        </w:rPr>
        <w:t>在服务水平、价格</w:t>
      </w:r>
      <w:r>
        <w:rPr>
          <w:rFonts w:hint="eastAsia" w:eastAsia="仿宋_GB2312"/>
          <w:sz w:val="32"/>
          <w:szCs w:val="32"/>
          <w:lang w:eastAsia="zh-CN"/>
        </w:rPr>
        <w:t>或</w:t>
      </w:r>
      <w:r>
        <w:rPr>
          <w:rFonts w:eastAsia="仿宋_GB2312"/>
          <w:sz w:val="32"/>
          <w:szCs w:val="32"/>
          <w:lang w:eastAsia="zh-CN"/>
        </w:rPr>
        <w:t>功能</w:t>
      </w:r>
      <w:r>
        <w:rPr>
          <w:rFonts w:hint="eastAsia" w:eastAsia="仿宋_GB2312"/>
          <w:sz w:val="32"/>
          <w:szCs w:val="32"/>
          <w:lang w:eastAsia="zh-CN"/>
        </w:rPr>
        <w:t>等</w:t>
      </w:r>
      <w:r>
        <w:rPr>
          <w:rFonts w:eastAsia="仿宋_GB2312"/>
          <w:sz w:val="32"/>
          <w:szCs w:val="32"/>
          <w:lang w:eastAsia="zh-CN"/>
        </w:rPr>
        <w:t>方面歧视单独购买</w:t>
      </w:r>
      <w:r>
        <w:rPr>
          <w:rFonts w:hint="eastAsia" w:eastAsia="仿宋_GB2312"/>
          <w:sz w:val="32"/>
          <w:szCs w:val="32"/>
          <w:lang w:eastAsia="zh-CN"/>
        </w:rPr>
        <w:t>安似科技相关EDA产品与新思科技相关EDA/设计IP产品</w:t>
      </w:r>
      <w:r>
        <w:rPr>
          <w:rFonts w:eastAsia="仿宋_GB2312"/>
          <w:sz w:val="32"/>
          <w:szCs w:val="32"/>
          <w:lang w:eastAsia="zh-CN"/>
        </w:rPr>
        <w:t>的客户。</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交易双方和集中后实体应继续支持安似科技相关EDA产品或</w:t>
      </w:r>
      <w:r>
        <w:rPr>
          <w:rFonts w:hint="eastAsia" w:eastAsia="仿宋_GB2312"/>
          <w:bCs/>
          <w:sz w:val="32"/>
          <w:szCs w:val="32"/>
          <w:lang w:eastAsia="zh-CN"/>
        </w:rPr>
        <w:t>主要用于寄生分析、功率器件分析和晶体管级电源完整性分析的新思科技相关EDA产品</w:t>
      </w:r>
      <w:r>
        <w:rPr>
          <w:rFonts w:hint="eastAsia" w:eastAsia="仿宋_GB2312"/>
          <w:sz w:val="32"/>
          <w:szCs w:val="32"/>
          <w:lang w:eastAsia="zh-CN"/>
        </w:rPr>
        <w:t>截至生效日所支持的行业标准格式。如果交易双方的中国客户就某个EDA工作流程提出要求，交易双方和集中后实体应确保前述EDA产品实施和支持任何截至生效日未支持的新的行业标准格式。</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就安似科技相关EDA产品或</w:t>
      </w:r>
      <w:r>
        <w:rPr>
          <w:rFonts w:hint="eastAsia" w:eastAsia="仿宋_GB2312"/>
          <w:bCs/>
          <w:sz w:val="32"/>
          <w:szCs w:val="32"/>
          <w:lang w:eastAsia="zh-CN"/>
        </w:rPr>
        <w:t>主要用于寄生分析、功率器件分析和晶体管级电源完整性分析的新思科技相关EDA产品，</w:t>
      </w:r>
      <w:r>
        <w:rPr>
          <w:rFonts w:hint="eastAsia" w:eastAsia="仿宋_GB2312"/>
          <w:sz w:val="32"/>
          <w:szCs w:val="32"/>
          <w:lang w:eastAsia="zh-CN"/>
        </w:rPr>
        <w:t>交易双方和集中后实体应继续维持并应要求（如有）续签现有互操作性协议（如附件【保密】所列），与交易双方以前的做法保持一致。</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根据向中国客户销售</w:t>
      </w:r>
      <w:r>
        <w:rPr>
          <w:rFonts w:eastAsia="仿宋_GB2312"/>
          <w:sz w:val="32"/>
          <w:szCs w:val="32"/>
          <w:lang w:eastAsia="zh-CN"/>
        </w:rPr>
        <w:t>EDA</w:t>
      </w:r>
      <w:r>
        <w:rPr>
          <w:rFonts w:hint="eastAsia" w:eastAsia="仿宋_GB2312"/>
          <w:sz w:val="32"/>
          <w:szCs w:val="32"/>
          <w:lang w:eastAsia="zh-CN"/>
        </w:rPr>
        <w:t>产品的第三方</w:t>
      </w:r>
      <w:r>
        <w:rPr>
          <w:rFonts w:eastAsia="仿宋_GB2312"/>
          <w:sz w:val="32"/>
          <w:szCs w:val="32"/>
          <w:lang w:eastAsia="zh-CN"/>
        </w:rPr>
        <w:t>EDA</w:t>
      </w:r>
      <w:r>
        <w:rPr>
          <w:rFonts w:hint="eastAsia" w:eastAsia="仿宋_GB2312"/>
          <w:sz w:val="32"/>
          <w:szCs w:val="32"/>
          <w:lang w:eastAsia="zh-CN"/>
        </w:rPr>
        <w:t>厂商的要求，且该等要求获得集中后实体与提出要求的第三方EDA厂商的共同中国客户的书面支持，交易双方和集中后实体应寻求与提出要求的第三方</w:t>
      </w:r>
      <w:r>
        <w:rPr>
          <w:rFonts w:eastAsia="仿宋_GB2312"/>
          <w:sz w:val="32"/>
          <w:szCs w:val="32"/>
          <w:lang w:eastAsia="zh-CN"/>
        </w:rPr>
        <w:t>EDA</w:t>
      </w:r>
      <w:r>
        <w:rPr>
          <w:rFonts w:hint="eastAsia" w:eastAsia="仿宋_GB2312"/>
          <w:sz w:val="32"/>
          <w:szCs w:val="32"/>
          <w:lang w:eastAsia="zh-CN"/>
        </w:rPr>
        <w:t>厂商签订双方均可接受的互操作性协议。</w:t>
      </w:r>
    </w:p>
    <w:p>
      <w:pPr>
        <w:pStyle w:val="36"/>
        <w:numPr>
          <w:ilvl w:val="0"/>
          <w:numId w:val="2"/>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【保密】。</w:t>
      </w:r>
    </w:p>
    <w:p>
      <w:pPr>
        <w:autoSpaceDE/>
        <w:autoSpaceDN/>
        <w:adjustRightInd/>
        <w:spacing w:after="120" w:line="360" w:lineRule="auto"/>
        <w:jc w:val="center"/>
        <w:rPr>
          <w:rFonts w:eastAsia="仿宋_GB2312"/>
          <w:bCs/>
          <w:kern w:val="2"/>
          <w:sz w:val="32"/>
          <w:szCs w:val="32"/>
          <w:lang w:eastAsia="zh-CN"/>
        </w:rPr>
      </w:pPr>
    </w:p>
    <w:p>
      <w:pPr>
        <w:autoSpaceDE/>
        <w:autoSpaceDN/>
        <w:adjustRightInd/>
        <w:spacing w:after="120" w:line="360" w:lineRule="auto"/>
        <w:jc w:val="center"/>
        <w:rPr>
          <w:rFonts w:eastAsia="仿宋_GB2312"/>
          <w:b/>
          <w:kern w:val="2"/>
          <w:sz w:val="32"/>
          <w:szCs w:val="32"/>
          <w:lang w:eastAsia="zh-CN"/>
        </w:rPr>
      </w:pPr>
      <w:r>
        <w:rPr>
          <w:rFonts w:hint="eastAsia" w:eastAsia="仿宋_GB2312"/>
          <w:b/>
          <w:kern w:val="2"/>
          <w:sz w:val="32"/>
          <w:szCs w:val="32"/>
          <w:lang w:eastAsia="zh-CN"/>
        </w:rPr>
        <w:t>第三部分 定期报告</w:t>
      </w:r>
    </w:p>
    <w:p>
      <w:pPr>
        <w:pStyle w:val="36"/>
        <w:numPr>
          <w:ilvl w:val="0"/>
          <w:numId w:val="8"/>
        </w:numPr>
        <w:spacing w:line="360" w:lineRule="auto"/>
        <w:ind w:left="0" w:firstLine="640" w:firstLineChars="200"/>
        <w:contextualSpacing w:val="0"/>
        <w:jc w:val="both"/>
        <w:rPr>
          <w:rFonts w:eastAsia="仿宋_GB2312"/>
          <w:sz w:val="32"/>
          <w:szCs w:val="32"/>
          <w:lang w:eastAsia="zh-CN"/>
        </w:rPr>
      </w:pPr>
      <w:r>
        <w:rPr>
          <w:rFonts w:eastAsia="仿宋_GB2312"/>
          <w:sz w:val="32"/>
          <w:szCs w:val="32"/>
          <w:lang w:eastAsia="zh-CN"/>
        </w:rPr>
        <w:t>自生效日起，交易双方和集中后实体应每年向市场监管总局报告本承诺方案的履行情况，直至</w:t>
      </w:r>
      <w:r>
        <w:rPr>
          <w:rFonts w:hint="eastAsia" w:eastAsia="仿宋_GB2312"/>
          <w:sz w:val="32"/>
          <w:szCs w:val="32"/>
          <w:lang w:eastAsia="zh-CN"/>
        </w:rPr>
        <w:t>本承诺方案</w:t>
      </w:r>
      <w:r>
        <w:rPr>
          <w:rFonts w:eastAsia="仿宋_GB2312"/>
          <w:sz w:val="32"/>
          <w:szCs w:val="32"/>
          <w:lang w:eastAsia="zh-CN"/>
        </w:rPr>
        <w:t>终止。</w:t>
      </w:r>
    </w:p>
    <w:p>
      <w:pPr>
        <w:pStyle w:val="36"/>
        <w:numPr>
          <w:ilvl w:val="0"/>
          <w:numId w:val="8"/>
        </w:numPr>
        <w:spacing w:line="360" w:lineRule="auto"/>
        <w:ind w:left="0" w:firstLine="640" w:firstLineChars="200"/>
        <w:contextualSpacing w:val="0"/>
        <w:jc w:val="both"/>
        <w:rPr>
          <w:rFonts w:eastAsia="仿宋_GB2312"/>
          <w:sz w:val="32"/>
          <w:szCs w:val="32"/>
          <w:lang w:eastAsia="zh-CN"/>
        </w:rPr>
      </w:pPr>
      <w:r>
        <w:rPr>
          <w:rFonts w:eastAsia="仿宋_GB2312"/>
          <w:sz w:val="32"/>
          <w:szCs w:val="32"/>
          <w:lang w:eastAsia="zh-CN"/>
        </w:rPr>
        <w:t>为履行本承诺方案，交易双方和集中后实体应制定具体履行方案并提交市场监管总局审查，并在市场监管总局批准后执行。</w:t>
      </w:r>
    </w:p>
    <w:p>
      <w:pPr>
        <w:autoSpaceDE/>
        <w:autoSpaceDN/>
        <w:adjustRightInd/>
        <w:spacing w:after="120" w:line="360" w:lineRule="auto"/>
        <w:jc w:val="center"/>
        <w:rPr>
          <w:rFonts w:eastAsia="仿宋_GB2312"/>
          <w:bCs/>
          <w:kern w:val="2"/>
          <w:sz w:val="32"/>
          <w:szCs w:val="32"/>
          <w:lang w:eastAsia="zh-CN"/>
        </w:rPr>
      </w:pPr>
    </w:p>
    <w:p>
      <w:pPr>
        <w:autoSpaceDE/>
        <w:autoSpaceDN/>
        <w:adjustRightInd/>
        <w:spacing w:after="120" w:line="360" w:lineRule="auto"/>
        <w:jc w:val="center"/>
        <w:rPr>
          <w:rFonts w:eastAsia="仿宋_GB2312"/>
          <w:b/>
          <w:kern w:val="2"/>
          <w:sz w:val="32"/>
          <w:szCs w:val="32"/>
          <w:lang w:eastAsia="zh-CN"/>
        </w:rPr>
      </w:pPr>
      <w:r>
        <w:rPr>
          <w:rFonts w:hint="eastAsia" w:eastAsia="仿宋_GB2312"/>
          <w:b/>
          <w:kern w:val="2"/>
          <w:sz w:val="32"/>
          <w:szCs w:val="32"/>
          <w:lang w:eastAsia="zh-CN"/>
        </w:rPr>
        <w:t xml:space="preserve">第四部分 其他事项 </w:t>
      </w:r>
    </w:p>
    <w:p>
      <w:pPr>
        <w:pStyle w:val="36"/>
        <w:numPr>
          <w:ilvl w:val="0"/>
          <w:numId w:val="9"/>
        </w:numPr>
        <w:spacing w:line="360" w:lineRule="auto"/>
        <w:ind w:left="0" w:firstLine="640" w:firstLineChars="200"/>
        <w:contextualSpacing w:val="0"/>
        <w:jc w:val="both"/>
        <w:rPr>
          <w:rFonts w:eastAsia="仿宋_GB2312"/>
          <w:sz w:val="32"/>
          <w:szCs w:val="32"/>
          <w:lang w:eastAsia="zh-CN"/>
        </w:rPr>
      </w:pPr>
      <w:r>
        <w:rPr>
          <w:rFonts w:eastAsia="仿宋_GB2312"/>
          <w:sz w:val="32"/>
          <w:szCs w:val="32"/>
          <w:lang w:eastAsia="zh-CN"/>
        </w:rPr>
        <w:t>交易双方将委托监督受托人，监督受托人应根据《经营者集中审查规定》监督交易双方履行</w:t>
      </w:r>
      <w:r>
        <w:rPr>
          <w:rFonts w:hint="eastAsia" w:eastAsia="仿宋_GB2312"/>
          <w:sz w:val="32"/>
          <w:szCs w:val="32"/>
          <w:lang w:eastAsia="zh-CN"/>
        </w:rPr>
        <w:t>本承诺方案</w:t>
      </w:r>
      <w:r>
        <w:rPr>
          <w:rFonts w:eastAsia="仿宋_GB2312"/>
          <w:sz w:val="32"/>
          <w:szCs w:val="32"/>
          <w:lang w:eastAsia="zh-CN"/>
        </w:rPr>
        <w:t>。</w:t>
      </w:r>
    </w:p>
    <w:p>
      <w:pPr>
        <w:pStyle w:val="36"/>
        <w:numPr>
          <w:ilvl w:val="0"/>
          <w:numId w:val="9"/>
        </w:numPr>
        <w:spacing w:line="360" w:lineRule="auto"/>
        <w:ind w:left="0" w:firstLine="640" w:firstLineChars="200"/>
        <w:contextualSpacing w:val="0"/>
        <w:jc w:val="both"/>
        <w:rPr>
          <w:rFonts w:eastAsia="仿宋_GB2312"/>
          <w:sz w:val="32"/>
          <w:szCs w:val="32"/>
          <w:lang w:eastAsia="zh-CN"/>
        </w:rPr>
      </w:pPr>
      <w:r>
        <w:rPr>
          <w:rFonts w:eastAsia="仿宋_GB2312"/>
          <w:sz w:val="32"/>
          <w:szCs w:val="32"/>
          <w:lang w:eastAsia="zh-CN"/>
        </w:rPr>
        <w:t>市场监管总局有权自行或通过监督受托人监督检查交易双方和集中后实体履行限制性条件的情况。如违反任何限制性条件，市场监管总局可根据《中华人民共和国反垄断法》的相关规定</w:t>
      </w:r>
      <w:r>
        <w:rPr>
          <w:rFonts w:hint="eastAsia" w:eastAsia="仿宋_GB2312"/>
          <w:sz w:val="32"/>
          <w:szCs w:val="32"/>
          <w:lang w:eastAsia="zh-CN"/>
        </w:rPr>
        <w:t>作出</w:t>
      </w:r>
      <w:r>
        <w:rPr>
          <w:rFonts w:eastAsia="仿宋_GB2312"/>
          <w:sz w:val="32"/>
          <w:szCs w:val="32"/>
          <w:lang w:eastAsia="zh-CN"/>
        </w:rPr>
        <w:t>决定，交易双方和集中后实体应承担相应的法律责任。</w:t>
      </w:r>
    </w:p>
    <w:p>
      <w:pPr>
        <w:pStyle w:val="36"/>
        <w:numPr>
          <w:ilvl w:val="0"/>
          <w:numId w:val="9"/>
        </w:numPr>
        <w:spacing w:line="360" w:lineRule="auto"/>
        <w:ind w:left="0" w:firstLine="640" w:firstLineChars="200"/>
        <w:contextualSpacing w:val="0"/>
        <w:jc w:val="both"/>
        <w:rPr>
          <w:rFonts w:eastAsia="仿宋_GB2312"/>
          <w:sz w:val="32"/>
          <w:szCs w:val="32"/>
          <w:lang w:eastAsia="zh-CN"/>
        </w:rPr>
      </w:pPr>
      <w:r>
        <w:rPr>
          <w:rFonts w:hint="eastAsia" w:eastAsia="仿宋_GB2312"/>
          <w:sz w:val="32"/>
          <w:szCs w:val="32"/>
          <w:lang w:eastAsia="zh-CN"/>
        </w:rPr>
        <w:t>本承诺方案中第二部分的</w:t>
      </w:r>
      <w:r>
        <w:rPr>
          <w:rFonts w:eastAsia="仿宋_GB2312"/>
          <w:sz w:val="32"/>
          <w:szCs w:val="32"/>
          <w:lang w:eastAsia="zh-CN"/>
        </w:rPr>
        <w:t>所有限制性条件自生效日起</w:t>
      </w:r>
      <w:r>
        <w:rPr>
          <w:rFonts w:hint="eastAsia" w:eastAsia="仿宋_GB2312"/>
          <w:sz w:val="32"/>
          <w:szCs w:val="32"/>
          <w:lang w:eastAsia="zh-CN"/>
        </w:rPr>
        <w:t>十</w:t>
      </w:r>
      <w:r>
        <w:rPr>
          <w:rFonts w:eastAsia="仿宋_GB2312"/>
          <w:sz w:val="32"/>
          <w:szCs w:val="32"/>
          <w:lang w:eastAsia="zh-CN"/>
        </w:rPr>
        <w:t>（</w:t>
      </w:r>
      <w:r>
        <w:rPr>
          <w:rFonts w:hint="eastAsia" w:eastAsia="仿宋_GB2312"/>
          <w:sz w:val="32"/>
          <w:szCs w:val="32"/>
          <w:lang w:eastAsia="zh-CN"/>
        </w:rPr>
        <w:t>10</w:t>
      </w:r>
      <w:r>
        <w:rPr>
          <w:rFonts w:eastAsia="仿宋_GB2312"/>
          <w:sz w:val="32"/>
          <w:szCs w:val="32"/>
          <w:lang w:eastAsia="zh-CN"/>
        </w:rPr>
        <w:t>）年内有效，</w:t>
      </w:r>
      <w:r>
        <w:rPr>
          <w:rFonts w:hint="eastAsia" w:eastAsia="仿宋_GB2312"/>
          <w:sz w:val="32"/>
          <w:szCs w:val="32"/>
          <w:lang w:eastAsia="zh-CN"/>
        </w:rPr>
        <w:t>并在十（10）年期限届满后终止。</w:t>
      </w:r>
    </w:p>
    <w:p>
      <w:pPr>
        <w:pStyle w:val="36"/>
        <w:numPr>
          <w:ilvl w:val="0"/>
          <w:numId w:val="9"/>
        </w:numPr>
        <w:spacing w:line="360" w:lineRule="auto"/>
        <w:ind w:left="0" w:firstLine="640" w:firstLineChars="200"/>
        <w:contextualSpacing w:val="0"/>
        <w:jc w:val="both"/>
        <w:rPr>
          <w:rFonts w:eastAsia="仿宋_GB2312"/>
          <w:sz w:val="32"/>
          <w:szCs w:val="32"/>
          <w:lang w:eastAsia="zh-CN"/>
        </w:rPr>
      </w:pPr>
      <w:r>
        <w:rPr>
          <w:rFonts w:eastAsia="仿宋_GB2312"/>
          <w:sz w:val="32"/>
          <w:szCs w:val="32"/>
          <w:lang w:eastAsia="zh-CN"/>
        </w:rPr>
        <w:t>限制性条件自生效日起，如果相关市场的竞争状况发生重大改变，或交易双方和集中后实体发生重大变化时，可以向市场监管总局申请变更或解除限制性条件。</w:t>
      </w:r>
    </w:p>
    <w:p>
      <w:pPr>
        <w:autoSpaceDE/>
        <w:autoSpaceDN/>
        <w:adjustRightInd/>
        <w:spacing w:after="120" w:line="360" w:lineRule="auto"/>
        <w:jc w:val="center"/>
        <w:rPr>
          <w:rFonts w:eastAsia="仿宋_GB2312"/>
          <w:bCs/>
          <w:kern w:val="2"/>
          <w:sz w:val="32"/>
          <w:szCs w:val="32"/>
          <w:lang w:eastAsia="zh-CN"/>
        </w:rPr>
      </w:pPr>
    </w:p>
    <w:p>
      <w:pPr>
        <w:autoSpaceDE/>
        <w:autoSpaceDN/>
        <w:adjustRightInd/>
        <w:spacing w:after="120" w:line="360" w:lineRule="auto"/>
        <w:jc w:val="center"/>
        <w:rPr>
          <w:rFonts w:eastAsia="仿宋_GB2312"/>
          <w:b/>
          <w:kern w:val="2"/>
          <w:sz w:val="32"/>
          <w:szCs w:val="32"/>
          <w:lang w:eastAsia="zh-CN"/>
        </w:rPr>
      </w:pPr>
      <w:r>
        <w:rPr>
          <w:rFonts w:hint="eastAsia" w:eastAsia="仿宋_GB2312"/>
          <w:b/>
          <w:kern w:val="2"/>
          <w:sz w:val="32"/>
          <w:szCs w:val="32"/>
          <w:lang w:eastAsia="zh-CN"/>
        </w:rPr>
        <w:t>第五部分 效力</w:t>
      </w:r>
    </w:p>
    <w:p>
      <w:pPr>
        <w:widowControl w:val="0"/>
        <w:autoSpaceDE/>
        <w:autoSpaceDN/>
        <w:adjustRightInd/>
        <w:spacing w:after="120" w:line="360" w:lineRule="auto"/>
        <w:ind w:firstLine="640" w:firstLineChars="200"/>
        <w:rPr>
          <w:rFonts w:eastAsia="仿宋_GB2312"/>
          <w:kern w:val="2"/>
          <w:sz w:val="32"/>
          <w:szCs w:val="32"/>
          <w:lang w:eastAsia="zh-CN"/>
        </w:rPr>
      </w:pPr>
      <w:r>
        <w:rPr>
          <w:rFonts w:eastAsia="仿宋_GB2312"/>
          <w:kern w:val="2"/>
          <w:sz w:val="32"/>
          <w:szCs w:val="32"/>
          <w:lang w:eastAsia="zh-CN"/>
        </w:rPr>
        <w:t>本承诺方案自生效日起生效。</w:t>
      </w:r>
    </w:p>
    <w:sectPr>
      <w:headerReference r:id="rId7" w:type="first"/>
      <w:footerReference r:id="rId10" w:type="first"/>
      <w:headerReference r:id="rId5" w:type="default"/>
      <w:footerReference r:id="rId8" w:type="default"/>
      <w:headerReference r:id="rId6" w:type="even"/>
      <w:footerReference r:id="rId9" w:type="even"/>
      <w:pgSz w:w="11907" w:h="16839"/>
      <w:pgMar w:top="1440" w:right="1440" w:bottom="1440" w:left="1440"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00000000" w:usb1="00000000" w:usb2="00000009" w:usb3="00000000" w:csb0="000001F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等线 Light">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sdt>
      <w:sdtPr>
        <w:id w:val="-29572992"/>
      </w:sdtPr>
      <w:sdtContent>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12</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sdtContent>
    </w:sdt>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fldChar w:fldCharType="begin"/>
    </w:r>
    <w:r>
      <w:instrText xml:space="preserve"> DOCPROPERTY DOCXDOCID DMS=InterwovenIManage Format=[&lt;&lt;LIB&gt;&gt; &lt;&lt;NUM&gt;&gt;_&lt;&lt;VER&gt;&gt;] PRESERVELOCATION \* MERGEFORMAT </w:instrText>
    </w:r>
    <w:r>
      <w:fldChar w:fldCharType="separate"/>
    </w:r>
    <w:r>
      <w:t>[AM_ACTIVE 405182606_2]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sdt>
      <w:sdtPr>
        <w:id w:val="1728636285"/>
      </w:sdtPr>
      <w:sdtContent>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sdtContent>
    </w:sdt>
  </w:p>
  <w:p>
    <w:pPr>
      <w:pStyle w:val="13"/>
      <w:tabs>
        <w:tab w:val="center" w:pos="900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enter" w:pos="4500"/>
      </w:tabs>
      <w:jc w:val="right"/>
      <w:rPr>
        <w:rFonts w:hint="eastAsia" w:ascii="黑体" w:hAnsi="黑体" w:eastAsia="黑体"/>
        <w:b/>
        <w:bCs/>
        <w:sz w:val="24"/>
        <w:szCs w:val="24"/>
      </w:rPr>
    </w:pPr>
    <w:r>
      <w:rPr>
        <w:rFonts w:hint="eastAsia" w:eastAsia="仿宋_GB2312"/>
        <w:b/>
        <w:bCs/>
        <w:kern w:val="2"/>
        <w:sz w:val="24"/>
        <w:szCs w:val="24"/>
        <w:lang w:eastAsia="zh-CN"/>
      </w:rPr>
      <w:t>公开版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048C8"/>
    <w:multiLevelType w:val="multilevel"/>
    <w:tmpl w:val="013048C8"/>
    <w:lvl w:ilvl="0" w:tentative="0">
      <w:start w:val="1"/>
      <w:numFmt w:val="upperRoman"/>
      <w:lvlText w:val="%1."/>
      <w:lvlJc w:val="left"/>
      <w:pPr>
        <w:tabs>
          <w:tab w:val="left" w:pos="4608"/>
        </w:tabs>
        <w:ind w:left="0" w:firstLine="4608"/>
      </w:pPr>
      <w:rPr>
        <w:rFonts w:hint="default"/>
        <w:b/>
        <w:i w:val="0"/>
        <w:sz w:val="24"/>
      </w:rPr>
    </w:lvl>
    <w:lvl w:ilvl="1" w:tentative="0">
      <w:start w:val="1"/>
      <w:numFmt w:val="upperLetter"/>
      <w:pStyle w:val="49"/>
      <w:lvlText w:val="%2."/>
      <w:lvlJc w:val="left"/>
      <w:pPr>
        <w:tabs>
          <w:tab w:val="left" w:pos="1080"/>
        </w:tabs>
        <w:ind w:left="1080" w:hanging="360"/>
      </w:pPr>
      <w:rPr>
        <w:rFonts w:hint="default"/>
      </w:rPr>
    </w:lvl>
    <w:lvl w:ilvl="2" w:tentative="0">
      <w:start w:val="1"/>
      <w:numFmt w:val="decimal"/>
      <w:lvlText w:val="%3."/>
      <w:lvlJc w:val="left"/>
      <w:pPr>
        <w:tabs>
          <w:tab w:val="left" w:pos="1800"/>
        </w:tabs>
        <w:ind w:left="1800" w:hanging="360"/>
      </w:pPr>
      <w:rPr>
        <w:rFonts w:hint="default"/>
      </w:rPr>
    </w:lvl>
    <w:lvl w:ilvl="3" w:tentative="0">
      <w:start w:val="1"/>
      <w:numFmt w:val="lowerLetter"/>
      <w:lvlText w:val="%4."/>
      <w:lvlJc w:val="left"/>
      <w:pPr>
        <w:tabs>
          <w:tab w:val="left" w:pos="2520"/>
        </w:tabs>
        <w:ind w:left="2520" w:hanging="360"/>
      </w:pPr>
      <w:rPr>
        <w:rFonts w:hint="default"/>
      </w:rPr>
    </w:lvl>
    <w:lvl w:ilvl="4" w:tentative="0">
      <w:start w:val="1"/>
      <w:numFmt w:val="decimal"/>
      <w:lvlText w:val="(%5)"/>
      <w:lvlJc w:val="left"/>
      <w:pPr>
        <w:tabs>
          <w:tab w:val="left" w:pos="3240"/>
        </w:tabs>
        <w:ind w:left="3240" w:hanging="360"/>
      </w:pPr>
      <w:rPr>
        <w:rFonts w:hint="default"/>
      </w:rPr>
    </w:lvl>
    <w:lvl w:ilvl="5" w:tentative="0">
      <w:start w:val="1"/>
      <w:numFmt w:val="lowerLetter"/>
      <w:lvlText w:val="(%6)"/>
      <w:lvlJc w:val="left"/>
      <w:pPr>
        <w:tabs>
          <w:tab w:val="left" w:pos="3960"/>
        </w:tabs>
        <w:ind w:left="3960" w:hanging="360"/>
      </w:pPr>
      <w:rPr>
        <w:rFonts w:hint="default"/>
      </w:rPr>
    </w:lvl>
    <w:lvl w:ilvl="6" w:tentative="0">
      <w:start w:val="1"/>
      <w:numFmt w:val="lowerRoman"/>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left"/>
      <w:pPr>
        <w:tabs>
          <w:tab w:val="left" w:pos="6120"/>
        </w:tabs>
        <w:ind w:left="6120" w:hanging="360"/>
      </w:pPr>
      <w:rPr>
        <w:rFonts w:hint="default"/>
      </w:rPr>
    </w:lvl>
  </w:abstractNum>
  <w:abstractNum w:abstractNumId="1">
    <w:nsid w:val="0F032870"/>
    <w:multiLevelType w:val="multilevel"/>
    <w:tmpl w:val="0F032870"/>
    <w:lvl w:ilvl="0" w:tentative="0">
      <w:start w:val="1"/>
      <w:numFmt w:val="decimal"/>
      <w:lvlText w:val="（%1）"/>
      <w:lvlJc w:val="left"/>
      <w:pPr>
        <w:ind w:left="1080" w:hanging="440"/>
      </w:pPr>
      <w:rPr>
        <w:rFonts w:hint="eastAsia"/>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2">
    <w:nsid w:val="21B25BF8"/>
    <w:multiLevelType w:val="multilevel"/>
    <w:tmpl w:val="21B25BF8"/>
    <w:lvl w:ilvl="0" w:tentative="0">
      <w:start w:val="1"/>
      <w:numFmt w:val="decimal"/>
      <w:lvlText w:val="（%1）"/>
      <w:lvlJc w:val="left"/>
      <w:pPr>
        <w:ind w:left="1080" w:hanging="440"/>
      </w:pPr>
      <w:rPr>
        <w:rFonts w:hint="eastAsia"/>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3">
    <w:nsid w:val="340737FC"/>
    <w:multiLevelType w:val="multilevel"/>
    <w:tmpl w:val="340737FC"/>
    <w:lvl w:ilvl="0" w:tentative="0">
      <w:start w:val="1"/>
      <w:numFmt w:val="decimal"/>
      <w:lvlText w:val="（%1）"/>
      <w:lvlJc w:val="left"/>
      <w:pPr>
        <w:ind w:left="1080" w:hanging="440"/>
      </w:pPr>
      <w:rPr>
        <w:rFonts w:hint="eastAsia"/>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4">
    <w:nsid w:val="47E00F77"/>
    <w:multiLevelType w:val="multilevel"/>
    <w:tmpl w:val="47E00F7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0F31612"/>
    <w:multiLevelType w:val="multilevel"/>
    <w:tmpl w:val="60F3161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B1A07DD"/>
    <w:multiLevelType w:val="multilevel"/>
    <w:tmpl w:val="6B1A07DD"/>
    <w:lvl w:ilvl="0" w:tentative="0">
      <w:start w:val="1"/>
      <w:numFmt w:val="decimal"/>
      <w:lvlText w:val="（%1）"/>
      <w:lvlJc w:val="left"/>
      <w:pPr>
        <w:ind w:left="3113" w:hanging="420"/>
      </w:pPr>
      <w:rPr>
        <w:rFonts w:hint="eastAsia"/>
        <w:sz w:val="32"/>
        <w:szCs w:val="32"/>
      </w:rPr>
    </w:lvl>
    <w:lvl w:ilvl="1" w:tentative="0">
      <w:start w:val="1"/>
      <w:numFmt w:val="lowerLetter"/>
      <w:lvlText w:val="%2)"/>
      <w:lvlJc w:val="left"/>
      <w:pPr>
        <w:ind w:left="2823" w:hanging="420"/>
      </w:pPr>
    </w:lvl>
    <w:lvl w:ilvl="2" w:tentative="0">
      <w:start w:val="1"/>
      <w:numFmt w:val="lowerRoman"/>
      <w:lvlText w:val="%3."/>
      <w:lvlJc w:val="right"/>
      <w:pPr>
        <w:ind w:left="3243" w:hanging="420"/>
      </w:pPr>
    </w:lvl>
    <w:lvl w:ilvl="3" w:tentative="0">
      <w:start w:val="1"/>
      <w:numFmt w:val="decimal"/>
      <w:lvlText w:val="%4."/>
      <w:lvlJc w:val="left"/>
      <w:pPr>
        <w:ind w:left="3663" w:hanging="420"/>
      </w:pPr>
    </w:lvl>
    <w:lvl w:ilvl="4" w:tentative="0">
      <w:start w:val="1"/>
      <w:numFmt w:val="lowerLetter"/>
      <w:lvlText w:val="%5)"/>
      <w:lvlJc w:val="left"/>
      <w:pPr>
        <w:ind w:left="4083" w:hanging="420"/>
      </w:pPr>
    </w:lvl>
    <w:lvl w:ilvl="5" w:tentative="0">
      <w:start w:val="1"/>
      <w:numFmt w:val="lowerRoman"/>
      <w:lvlText w:val="%6."/>
      <w:lvlJc w:val="right"/>
      <w:pPr>
        <w:ind w:left="4503" w:hanging="420"/>
      </w:pPr>
    </w:lvl>
    <w:lvl w:ilvl="6" w:tentative="0">
      <w:start w:val="1"/>
      <w:numFmt w:val="decimal"/>
      <w:lvlText w:val="%7."/>
      <w:lvlJc w:val="left"/>
      <w:pPr>
        <w:ind w:left="4923" w:hanging="420"/>
      </w:pPr>
    </w:lvl>
    <w:lvl w:ilvl="7" w:tentative="0">
      <w:start w:val="1"/>
      <w:numFmt w:val="lowerLetter"/>
      <w:lvlText w:val="%8)"/>
      <w:lvlJc w:val="left"/>
      <w:pPr>
        <w:ind w:left="5343" w:hanging="420"/>
      </w:pPr>
    </w:lvl>
    <w:lvl w:ilvl="8" w:tentative="0">
      <w:start w:val="1"/>
      <w:numFmt w:val="lowerRoman"/>
      <w:lvlText w:val="%9."/>
      <w:lvlJc w:val="right"/>
      <w:pPr>
        <w:ind w:left="5763" w:hanging="420"/>
      </w:pPr>
    </w:lvl>
  </w:abstractNum>
  <w:abstractNum w:abstractNumId="7">
    <w:nsid w:val="7A9B586B"/>
    <w:multiLevelType w:val="multilevel"/>
    <w:tmpl w:val="7A9B586B"/>
    <w:lvl w:ilvl="0" w:tentative="0">
      <w:start w:val="1"/>
      <w:numFmt w:val="decimal"/>
      <w:lvlText w:val="（%1）"/>
      <w:lvlJc w:val="left"/>
      <w:pPr>
        <w:ind w:left="3113" w:hanging="420"/>
      </w:pPr>
      <w:rPr>
        <w:rFonts w:hint="eastAsia"/>
        <w:sz w:val="32"/>
        <w:szCs w:val="32"/>
      </w:rPr>
    </w:lvl>
    <w:lvl w:ilvl="1" w:tentative="0">
      <w:start w:val="1"/>
      <w:numFmt w:val="lowerLetter"/>
      <w:lvlText w:val="%2)"/>
      <w:lvlJc w:val="left"/>
      <w:pPr>
        <w:ind w:left="2823" w:hanging="420"/>
      </w:pPr>
    </w:lvl>
    <w:lvl w:ilvl="2" w:tentative="0">
      <w:start w:val="1"/>
      <w:numFmt w:val="lowerRoman"/>
      <w:lvlText w:val="%3."/>
      <w:lvlJc w:val="right"/>
      <w:pPr>
        <w:ind w:left="3243" w:hanging="420"/>
      </w:pPr>
    </w:lvl>
    <w:lvl w:ilvl="3" w:tentative="0">
      <w:start w:val="1"/>
      <w:numFmt w:val="decimal"/>
      <w:lvlText w:val="%4."/>
      <w:lvlJc w:val="left"/>
      <w:pPr>
        <w:ind w:left="3663" w:hanging="420"/>
      </w:pPr>
    </w:lvl>
    <w:lvl w:ilvl="4" w:tentative="0">
      <w:start w:val="1"/>
      <w:numFmt w:val="lowerLetter"/>
      <w:lvlText w:val="%5)"/>
      <w:lvlJc w:val="left"/>
      <w:pPr>
        <w:ind w:left="4083" w:hanging="420"/>
      </w:pPr>
    </w:lvl>
    <w:lvl w:ilvl="5" w:tentative="0">
      <w:start w:val="1"/>
      <w:numFmt w:val="lowerRoman"/>
      <w:lvlText w:val="%6."/>
      <w:lvlJc w:val="right"/>
      <w:pPr>
        <w:ind w:left="4503" w:hanging="420"/>
      </w:pPr>
    </w:lvl>
    <w:lvl w:ilvl="6" w:tentative="0">
      <w:start w:val="1"/>
      <w:numFmt w:val="decimal"/>
      <w:lvlText w:val="%7."/>
      <w:lvlJc w:val="left"/>
      <w:pPr>
        <w:ind w:left="4923" w:hanging="420"/>
      </w:pPr>
    </w:lvl>
    <w:lvl w:ilvl="7" w:tentative="0">
      <w:start w:val="1"/>
      <w:numFmt w:val="lowerLetter"/>
      <w:lvlText w:val="%8)"/>
      <w:lvlJc w:val="left"/>
      <w:pPr>
        <w:ind w:left="5343" w:hanging="420"/>
      </w:pPr>
    </w:lvl>
    <w:lvl w:ilvl="8" w:tentative="0">
      <w:start w:val="1"/>
      <w:numFmt w:val="lowerRoman"/>
      <w:lvlText w:val="%9."/>
      <w:lvlJc w:val="right"/>
      <w:pPr>
        <w:ind w:left="5763" w:hanging="420"/>
      </w:pPr>
    </w:lvl>
  </w:abstractNum>
  <w:abstractNum w:abstractNumId="8">
    <w:nsid w:val="7C937209"/>
    <w:multiLevelType w:val="multilevel"/>
    <w:tmpl w:val="7C93720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8"/>
  </w:num>
  <w:num w:numId="3">
    <w:abstractNumId w:val="3"/>
  </w:num>
  <w:num w:numId="4">
    <w:abstractNumId w:val="1"/>
  </w:num>
  <w:num w:numId="5">
    <w:abstractNumId w:val="2"/>
  </w:num>
  <w:num w:numId="6">
    <w:abstractNumId w:val="7"/>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sDQ3MzExN7Uws7CwNDNQ0lEKTi0uzszPAykwrgUAVf+k+ywAAAA="/>
  </w:docVars>
  <w:rsids>
    <w:rsidRoot w:val="00525F08"/>
    <w:rsid w:val="00003BCA"/>
    <w:rsid w:val="0000410B"/>
    <w:rsid w:val="00013643"/>
    <w:rsid w:val="000144D9"/>
    <w:rsid w:val="00016786"/>
    <w:rsid w:val="00023624"/>
    <w:rsid w:val="00025793"/>
    <w:rsid w:val="00031087"/>
    <w:rsid w:val="00031B41"/>
    <w:rsid w:val="000421B0"/>
    <w:rsid w:val="00044BAB"/>
    <w:rsid w:val="00055C47"/>
    <w:rsid w:val="00061202"/>
    <w:rsid w:val="000665EF"/>
    <w:rsid w:val="000779C6"/>
    <w:rsid w:val="00091D39"/>
    <w:rsid w:val="00093293"/>
    <w:rsid w:val="000964E7"/>
    <w:rsid w:val="00096584"/>
    <w:rsid w:val="000A2E5C"/>
    <w:rsid w:val="000A5096"/>
    <w:rsid w:val="000A66C0"/>
    <w:rsid w:val="000A747D"/>
    <w:rsid w:val="000C20D1"/>
    <w:rsid w:val="000C44EE"/>
    <w:rsid w:val="000D36BD"/>
    <w:rsid w:val="000D3A45"/>
    <w:rsid w:val="000D4325"/>
    <w:rsid w:val="000E14FC"/>
    <w:rsid w:val="000F5B81"/>
    <w:rsid w:val="00103E0F"/>
    <w:rsid w:val="00105F76"/>
    <w:rsid w:val="0011659E"/>
    <w:rsid w:val="001165CB"/>
    <w:rsid w:val="0012258E"/>
    <w:rsid w:val="00127F12"/>
    <w:rsid w:val="0013486B"/>
    <w:rsid w:val="00137381"/>
    <w:rsid w:val="00142EAA"/>
    <w:rsid w:val="0014605D"/>
    <w:rsid w:val="00153C67"/>
    <w:rsid w:val="00155EA6"/>
    <w:rsid w:val="00156655"/>
    <w:rsid w:val="0017686C"/>
    <w:rsid w:val="00176968"/>
    <w:rsid w:val="00180079"/>
    <w:rsid w:val="0019316B"/>
    <w:rsid w:val="001A5EC3"/>
    <w:rsid w:val="001A6DA7"/>
    <w:rsid w:val="001B3F91"/>
    <w:rsid w:val="001C10E5"/>
    <w:rsid w:val="001C4DF4"/>
    <w:rsid w:val="001C52D9"/>
    <w:rsid w:val="001D44BC"/>
    <w:rsid w:val="001F01D9"/>
    <w:rsid w:val="001F28B7"/>
    <w:rsid w:val="001F4C04"/>
    <w:rsid w:val="001F760D"/>
    <w:rsid w:val="0020090C"/>
    <w:rsid w:val="0021187B"/>
    <w:rsid w:val="00222FEF"/>
    <w:rsid w:val="00226465"/>
    <w:rsid w:val="00234651"/>
    <w:rsid w:val="002376D4"/>
    <w:rsid w:val="00243A68"/>
    <w:rsid w:val="0026533D"/>
    <w:rsid w:val="00273B02"/>
    <w:rsid w:val="00286724"/>
    <w:rsid w:val="002A6712"/>
    <w:rsid w:val="002A6F4B"/>
    <w:rsid w:val="002B0909"/>
    <w:rsid w:val="002C59D5"/>
    <w:rsid w:val="002C69C6"/>
    <w:rsid w:val="002E290F"/>
    <w:rsid w:val="002E298C"/>
    <w:rsid w:val="002E4AA2"/>
    <w:rsid w:val="002E6973"/>
    <w:rsid w:val="002F0A7E"/>
    <w:rsid w:val="002F3D5A"/>
    <w:rsid w:val="00310706"/>
    <w:rsid w:val="00315CFC"/>
    <w:rsid w:val="00331040"/>
    <w:rsid w:val="00332D8D"/>
    <w:rsid w:val="003351C1"/>
    <w:rsid w:val="00336B8C"/>
    <w:rsid w:val="00337689"/>
    <w:rsid w:val="00337EDE"/>
    <w:rsid w:val="003406B2"/>
    <w:rsid w:val="00340EE8"/>
    <w:rsid w:val="00341523"/>
    <w:rsid w:val="00342138"/>
    <w:rsid w:val="00342C63"/>
    <w:rsid w:val="003430C2"/>
    <w:rsid w:val="0035616D"/>
    <w:rsid w:val="00370C33"/>
    <w:rsid w:val="00380A38"/>
    <w:rsid w:val="003814AB"/>
    <w:rsid w:val="00391D28"/>
    <w:rsid w:val="003A3FC1"/>
    <w:rsid w:val="003A50E5"/>
    <w:rsid w:val="003B45D0"/>
    <w:rsid w:val="003B585C"/>
    <w:rsid w:val="003B6656"/>
    <w:rsid w:val="003C0DC7"/>
    <w:rsid w:val="003D753D"/>
    <w:rsid w:val="003E462E"/>
    <w:rsid w:val="003E64A6"/>
    <w:rsid w:val="003F5C60"/>
    <w:rsid w:val="00404A1D"/>
    <w:rsid w:val="00416EC0"/>
    <w:rsid w:val="0044575D"/>
    <w:rsid w:val="004615DA"/>
    <w:rsid w:val="00463A0D"/>
    <w:rsid w:val="00474171"/>
    <w:rsid w:val="004839B4"/>
    <w:rsid w:val="00484239"/>
    <w:rsid w:val="00485062"/>
    <w:rsid w:val="00494142"/>
    <w:rsid w:val="004A25D4"/>
    <w:rsid w:val="004C04B2"/>
    <w:rsid w:val="004C4D71"/>
    <w:rsid w:val="004D3744"/>
    <w:rsid w:val="004D4792"/>
    <w:rsid w:val="004D4881"/>
    <w:rsid w:val="004D502B"/>
    <w:rsid w:val="004E06A1"/>
    <w:rsid w:val="004E0FE0"/>
    <w:rsid w:val="004F4425"/>
    <w:rsid w:val="00504DA8"/>
    <w:rsid w:val="0051130E"/>
    <w:rsid w:val="00516E0C"/>
    <w:rsid w:val="00525F08"/>
    <w:rsid w:val="00534281"/>
    <w:rsid w:val="0053452D"/>
    <w:rsid w:val="005515E1"/>
    <w:rsid w:val="00553831"/>
    <w:rsid w:val="005552FB"/>
    <w:rsid w:val="00556A3A"/>
    <w:rsid w:val="005626A8"/>
    <w:rsid w:val="00567A85"/>
    <w:rsid w:val="00570A9F"/>
    <w:rsid w:val="005B3FED"/>
    <w:rsid w:val="005C6BC1"/>
    <w:rsid w:val="005D1303"/>
    <w:rsid w:val="005D2BC9"/>
    <w:rsid w:val="005E0F42"/>
    <w:rsid w:val="005F05D3"/>
    <w:rsid w:val="00610A51"/>
    <w:rsid w:val="006110DF"/>
    <w:rsid w:val="00620FB3"/>
    <w:rsid w:val="00626F30"/>
    <w:rsid w:val="00627AB6"/>
    <w:rsid w:val="006313DB"/>
    <w:rsid w:val="00634BE8"/>
    <w:rsid w:val="006400EF"/>
    <w:rsid w:val="00647430"/>
    <w:rsid w:val="00652E84"/>
    <w:rsid w:val="006552FE"/>
    <w:rsid w:val="0066260C"/>
    <w:rsid w:val="00665941"/>
    <w:rsid w:val="006675A1"/>
    <w:rsid w:val="00693685"/>
    <w:rsid w:val="0069450A"/>
    <w:rsid w:val="006B44AB"/>
    <w:rsid w:val="006C08EA"/>
    <w:rsid w:val="006C0E9C"/>
    <w:rsid w:val="006C70C7"/>
    <w:rsid w:val="006D1AFC"/>
    <w:rsid w:val="006D5DD6"/>
    <w:rsid w:val="006D7307"/>
    <w:rsid w:val="006E07DB"/>
    <w:rsid w:val="006F0728"/>
    <w:rsid w:val="006F69D2"/>
    <w:rsid w:val="007079A5"/>
    <w:rsid w:val="00710BE8"/>
    <w:rsid w:val="00734093"/>
    <w:rsid w:val="00743ADB"/>
    <w:rsid w:val="007614DD"/>
    <w:rsid w:val="00761FEE"/>
    <w:rsid w:val="0078485D"/>
    <w:rsid w:val="00784B21"/>
    <w:rsid w:val="00786832"/>
    <w:rsid w:val="007A22DE"/>
    <w:rsid w:val="007A35D3"/>
    <w:rsid w:val="007A566F"/>
    <w:rsid w:val="007B2598"/>
    <w:rsid w:val="007C0B77"/>
    <w:rsid w:val="007C0FA4"/>
    <w:rsid w:val="007C25E8"/>
    <w:rsid w:val="007C27D4"/>
    <w:rsid w:val="007D4F48"/>
    <w:rsid w:val="007D5185"/>
    <w:rsid w:val="007E544C"/>
    <w:rsid w:val="007E6899"/>
    <w:rsid w:val="007F047B"/>
    <w:rsid w:val="007F2704"/>
    <w:rsid w:val="007F2812"/>
    <w:rsid w:val="008000F5"/>
    <w:rsid w:val="008152C0"/>
    <w:rsid w:val="00815418"/>
    <w:rsid w:val="00822793"/>
    <w:rsid w:val="0083763A"/>
    <w:rsid w:val="00844D08"/>
    <w:rsid w:val="00851B44"/>
    <w:rsid w:val="00854F4E"/>
    <w:rsid w:val="00856222"/>
    <w:rsid w:val="0085714C"/>
    <w:rsid w:val="00876D1C"/>
    <w:rsid w:val="008A09DB"/>
    <w:rsid w:val="008A3328"/>
    <w:rsid w:val="008A4794"/>
    <w:rsid w:val="008B3611"/>
    <w:rsid w:val="008C3FAC"/>
    <w:rsid w:val="008C54E9"/>
    <w:rsid w:val="008D081E"/>
    <w:rsid w:val="008D5FE6"/>
    <w:rsid w:val="008D6E31"/>
    <w:rsid w:val="008D73C3"/>
    <w:rsid w:val="008E7047"/>
    <w:rsid w:val="00905717"/>
    <w:rsid w:val="00930940"/>
    <w:rsid w:val="00942E24"/>
    <w:rsid w:val="009457F2"/>
    <w:rsid w:val="00951699"/>
    <w:rsid w:val="0096274C"/>
    <w:rsid w:val="009716D7"/>
    <w:rsid w:val="00972E4F"/>
    <w:rsid w:val="00992F2A"/>
    <w:rsid w:val="00997B75"/>
    <w:rsid w:val="009C167C"/>
    <w:rsid w:val="009C7DC7"/>
    <w:rsid w:val="009E0765"/>
    <w:rsid w:val="009F4325"/>
    <w:rsid w:val="009F6C60"/>
    <w:rsid w:val="00A01BFA"/>
    <w:rsid w:val="00A03B1F"/>
    <w:rsid w:val="00A17D74"/>
    <w:rsid w:val="00A17F57"/>
    <w:rsid w:val="00A25916"/>
    <w:rsid w:val="00A272C9"/>
    <w:rsid w:val="00A35DEC"/>
    <w:rsid w:val="00A4446D"/>
    <w:rsid w:val="00A46305"/>
    <w:rsid w:val="00A5157A"/>
    <w:rsid w:val="00A5668C"/>
    <w:rsid w:val="00A712C4"/>
    <w:rsid w:val="00A71E34"/>
    <w:rsid w:val="00A751EA"/>
    <w:rsid w:val="00A760D9"/>
    <w:rsid w:val="00A83DA4"/>
    <w:rsid w:val="00A918ED"/>
    <w:rsid w:val="00A91C26"/>
    <w:rsid w:val="00A95B47"/>
    <w:rsid w:val="00AA2B26"/>
    <w:rsid w:val="00AA4997"/>
    <w:rsid w:val="00AD0ED8"/>
    <w:rsid w:val="00AD26EF"/>
    <w:rsid w:val="00AD34AB"/>
    <w:rsid w:val="00AE1A66"/>
    <w:rsid w:val="00AF3CA3"/>
    <w:rsid w:val="00AF66D8"/>
    <w:rsid w:val="00AF74C6"/>
    <w:rsid w:val="00B02AA2"/>
    <w:rsid w:val="00B06F7C"/>
    <w:rsid w:val="00B13F74"/>
    <w:rsid w:val="00B144D7"/>
    <w:rsid w:val="00B16221"/>
    <w:rsid w:val="00B26520"/>
    <w:rsid w:val="00B332C4"/>
    <w:rsid w:val="00B3450B"/>
    <w:rsid w:val="00B473B3"/>
    <w:rsid w:val="00B50A94"/>
    <w:rsid w:val="00B54043"/>
    <w:rsid w:val="00B72336"/>
    <w:rsid w:val="00B76C89"/>
    <w:rsid w:val="00B82807"/>
    <w:rsid w:val="00BA1AC9"/>
    <w:rsid w:val="00BC2CA0"/>
    <w:rsid w:val="00BC5190"/>
    <w:rsid w:val="00BC645D"/>
    <w:rsid w:val="00BC7295"/>
    <w:rsid w:val="00BE3ACA"/>
    <w:rsid w:val="00BE3DC5"/>
    <w:rsid w:val="00C01F99"/>
    <w:rsid w:val="00C02D1E"/>
    <w:rsid w:val="00C05728"/>
    <w:rsid w:val="00C075F6"/>
    <w:rsid w:val="00C113E2"/>
    <w:rsid w:val="00C14D6F"/>
    <w:rsid w:val="00C25E58"/>
    <w:rsid w:val="00C35883"/>
    <w:rsid w:val="00C543BB"/>
    <w:rsid w:val="00C6149A"/>
    <w:rsid w:val="00C63B63"/>
    <w:rsid w:val="00C72001"/>
    <w:rsid w:val="00C82101"/>
    <w:rsid w:val="00C84092"/>
    <w:rsid w:val="00C84B5C"/>
    <w:rsid w:val="00C850C5"/>
    <w:rsid w:val="00C94620"/>
    <w:rsid w:val="00CB4D03"/>
    <w:rsid w:val="00CB5682"/>
    <w:rsid w:val="00CB74A3"/>
    <w:rsid w:val="00CC0D92"/>
    <w:rsid w:val="00CC732C"/>
    <w:rsid w:val="00CD2A2C"/>
    <w:rsid w:val="00CE5374"/>
    <w:rsid w:val="00CF5412"/>
    <w:rsid w:val="00D05E43"/>
    <w:rsid w:val="00D2100C"/>
    <w:rsid w:val="00D21012"/>
    <w:rsid w:val="00D24FC0"/>
    <w:rsid w:val="00D34BAE"/>
    <w:rsid w:val="00D4309F"/>
    <w:rsid w:val="00D52356"/>
    <w:rsid w:val="00D63E27"/>
    <w:rsid w:val="00D75BEF"/>
    <w:rsid w:val="00D84086"/>
    <w:rsid w:val="00D904B6"/>
    <w:rsid w:val="00D926E3"/>
    <w:rsid w:val="00D97DE4"/>
    <w:rsid w:val="00DA540D"/>
    <w:rsid w:val="00DA7E7A"/>
    <w:rsid w:val="00DB0C32"/>
    <w:rsid w:val="00DC4D13"/>
    <w:rsid w:val="00DC51D4"/>
    <w:rsid w:val="00DC58D5"/>
    <w:rsid w:val="00DD2668"/>
    <w:rsid w:val="00DE3694"/>
    <w:rsid w:val="00DF06B3"/>
    <w:rsid w:val="00DF3109"/>
    <w:rsid w:val="00E07141"/>
    <w:rsid w:val="00E13167"/>
    <w:rsid w:val="00E20954"/>
    <w:rsid w:val="00E24738"/>
    <w:rsid w:val="00E25C67"/>
    <w:rsid w:val="00E31057"/>
    <w:rsid w:val="00E32D08"/>
    <w:rsid w:val="00E45B7A"/>
    <w:rsid w:val="00E52EC3"/>
    <w:rsid w:val="00E5319D"/>
    <w:rsid w:val="00E53485"/>
    <w:rsid w:val="00E56AF7"/>
    <w:rsid w:val="00E612BC"/>
    <w:rsid w:val="00E649A7"/>
    <w:rsid w:val="00E66F4B"/>
    <w:rsid w:val="00E70EFA"/>
    <w:rsid w:val="00E77807"/>
    <w:rsid w:val="00E83E5E"/>
    <w:rsid w:val="00E93DC0"/>
    <w:rsid w:val="00E957B1"/>
    <w:rsid w:val="00EA4299"/>
    <w:rsid w:val="00EA4A1E"/>
    <w:rsid w:val="00EA5572"/>
    <w:rsid w:val="00EB02BC"/>
    <w:rsid w:val="00EB7AB4"/>
    <w:rsid w:val="00EC47B2"/>
    <w:rsid w:val="00ED117E"/>
    <w:rsid w:val="00ED4C40"/>
    <w:rsid w:val="00EF5EB8"/>
    <w:rsid w:val="00EF6A68"/>
    <w:rsid w:val="00F104E6"/>
    <w:rsid w:val="00F10FA9"/>
    <w:rsid w:val="00F14AE3"/>
    <w:rsid w:val="00F17D50"/>
    <w:rsid w:val="00F30CF4"/>
    <w:rsid w:val="00F36FD9"/>
    <w:rsid w:val="00F63887"/>
    <w:rsid w:val="00F81DF5"/>
    <w:rsid w:val="00FB5504"/>
    <w:rsid w:val="00FC4707"/>
    <w:rsid w:val="00FD0709"/>
    <w:rsid w:val="00FD72F4"/>
    <w:rsid w:val="00FF3B52"/>
    <w:rsid w:val="00FF407B"/>
    <w:rsid w:val="00FF77F6"/>
    <w:rsid w:val="737D33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utoSpaceDE w:val="0"/>
      <w:autoSpaceDN w:val="0"/>
      <w:adjustRightInd w:val="0"/>
      <w:spacing w:after="0" w:line="240" w:lineRule="auto"/>
    </w:pPr>
    <w:rPr>
      <w:rFonts w:ascii="Times New Roman" w:hAnsi="Times New Roman" w:eastAsia="Times New Roman" w:cs="Times New Roman"/>
      <w:kern w:val="0"/>
      <w:sz w:val="24"/>
      <w:szCs w:val="20"/>
      <w:lang w:val="en-US" w:eastAsia="en-US" w:bidi="ar-SA"/>
      <w14:ligatures w14:val="none"/>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8"/>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unhideWhenUsed/>
    <w:qFormat/>
    <w:uiPriority w:val="99"/>
  </w:style>
  <w:style w:type="paragraph" w:styleId="12">
    <w:name w:val="Body Text"/>
    <w:basedOn w:val="1"/>
    <w:link w:val="50"/>
    <w:qFormat/>
    <w:uiPriority w:val="0"/>
    <w:pPr>
      <w:autoSpaceDE/>
      <w:autoSpaceDN/>
      <w:adjustRightInd/>
      <w:spacing w:after="240"/>
    </w:pPr>
    <w:rPr>
      <w:rFonts w:eastAsiaTheme="minorEastAsia" w:cstheme="minorBidi"/>
      <w:szCs w:val="22"/>
    </w:rPr>
  </w:style>
  <w:style w:type="paragraph" w:styleId="13">
    <w:name w:val="footer"/>
    <w:basedOn w:val="1"/>
    <w:link w:val="42"/>
    <w:unhideWhenUsed/>
    <w:qFormat/>
    <w:uiPriority w:val="99"/>
    <w:pPr>
      <w:tabs>
        <w:tab w:val="center" w:pos="4153"/>
        <w:tab w:val="right" w:pos="8306"/>
      </w:tabs>
      <w:snapToGrid w:val="0"/>
    </w:pPr>
    <w:rPr>
      <w:sz w:val="18"/>
      <w:szCs w:val="18"/>
    </w:rPr>
  </w:style>
  <w:style w:type="paragraph" w:styleId="14">
    <w:name w:val="header"/>
    <w:basedOn w:val="1"/>
    <w:link w:val="41"/>
    <w:unhideWhenUsed/>
    <w:qFormat/>
    <w:uiPriority w:val="9"/>
    <w:pPr>
      <w:tabs>
        <w:tab w:val="center" w:pos="4153"/>
        <w:tab w:val="right" w:pos="8306"/>
      </w:tabs>
      <w:snapToGrid w:val="0"/>
      <w:jc w:val="center"/>
    </w:pPr>
    <w:rPr>
      <w:sz w:val="18"/>
      <w:szCs w:val="18"/>
    </w:rPr>
  </w:style>
  <w:style w:type="paragraph" w:styleId="15">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footnote text"/>
    <w:basedOn w:val="1"/>
    <w:link w:val="48"/>
    <w:semiHidden/>
    <w:unhideWhenUsed/>
    <w:qFormat/>
    <w:uiPriority w:val="99"/>
    <w:rPr>
      <w:sz w:val="20"/>
    </w:rPr>
  </w:style>
  <w:style w:type="paragraph" w:styleId="17">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47"/>
    <w:semiHidden/>
    <w:unhideWhenUsed/>
    <w:qFormat/>
    <w:uiPriority w:val="99"/>
    <w:rPr>
      <w:b/>
      <w:bCs/>
    </w:rPr>
  </w:style>
  <w:style w:type="character" w:styleId="21">
    <w:name w:val="annotation reference"/>
    <w:basedOn w:val="20"/>
    <w:semiHidden/>
    <w:unhideWhenUsed/>
    <w:qFormat/>
    <w:uiPriority w:val="99"/>
    <w:rPr>
      <w:sz w:val="21"/>
      <w:szCs w:val="21"/>
    </w:rPr>
  </w:style>
  <w:style w:type="character" w:styleId="22">
    <w:name w:val="footnote reference"/>
    <w:basedOn w:val="20"/>
    <w:semiHidden/>
    <w:unhideWhenUsed/>
    <w:qFormat/>
    <w:uiPriority w:val="99"/>
    <w:rPr>
      <w:vertAlign w:val="superscript"/>
    </w:rPr>
  </w:style>
  <w:style w:type="character" w:customStyle="1" w:styleId="23">
    <w:name w:val="标题 1 字符"/>
    <w:basedOn w:val="20"/>
    <w:link w:val="2"/>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2 字符"/>
    <w:basedOn w:val="20"/>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20"/>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20"/>
    <w:link w:val="5"/>
    <w:semiHidden/>
    <w:qFormat/>
    <w:uiPriority w:val="9"/>
    <w:rPr>
      <w:rFonts w:cstheme="majorBidi"/>
      <w:color w:val="2F5597" w:themeColor="accent1" w:themeShade="BF"/>
      <w:sz w:val="28"/>
      <w:szCs w:val="28"/>
    </w:rPr>
  </w:style>
  <w:style w:type="character" w:customStyle="1" w:styleId="27">
    <w:name w:val="标题 5 字符"/>
    <w:basedOn w:val="20"/>
    <w:link w:val="6"/>
    <w:semiHidden/>
    <w:qFormat/>
    <w:uiPriority w:val="9"/>
    <w:rPr>
      <w:rFonts w:cstheme="majorBidi"/>
      <w:color w:val="2F5597" w:themeColor="accent1" w:themeShade="BF"/>
      <w:sz w:val="24"/>
    </w:rPr>
  </w:style>
  <w:style w:type="character" w:customStyle="1" w:styleId="28">
    <w:name w:val="标题 6 字符"/>
    <w:basedOn w:val="20"/>
    <w:link w:val="7"/>
    <w:semiHidden/>
    <w:qFormat/>
    <w:uiPriority w:val="9"/>
    <w:rPr>
      <w:rFonts w:cstheme="majorBidi"/>
      <w:b/>
      <w:bCs/>
      <w:color w:val="2F5597" w:themeColor="accent1" w:themeShade="BF"/>
    </w:rPr>
  </w:style>
  <w:style w:type="character" w:customStyle="1" w:styleId="29">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0"/>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link w:val="43"/>
    <w:qFormat/>
    <w:uiPriority w:val="34"/>
    <w:pPr>
      <w:ind w:left="720"/>
      <w:contextualSpacing/>
    </w:pPr>
  </w:style>
  <w:style w:type="character" w:customStyle="1" w:styleId="37">
    <w:name w:val="Intense Emphasis"/>
    <w:basedOn w:val="20"/>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明显引用 字符"/>
    <w:basedOn w:val="20"/>
    <w:link w:val="38"/>
    <w:qFormat/>
    <w:uiPriority w:val="30"/>
    <w:rPr>
      <w:i/>
      <w:iCs/>
      <w:color w:val="2F5597" w:themeColor="accent1" w:themeShade="BF"/>
    </w:rPr>
  </w:style>
  <w:style w:type="character" w:customStyle="1" w:styleId="40">
    <w:name w:val="Intense Reference"/>
    <w:basedOn w:val="20"/>
    <w:qFormat/>
    <w:uiPriority w:val="32"/>
    <w:rPr>
      <w:b/>
      <w:bCs/>
      <w:smallCaps/>
      <w:color w:val="2F5597" w:themeColor="accent1" w:themeShade="BF"/>
      <w:spacing w:val="5"/>
    </w:rPr>
  </w:style>
  <w:style w:type="character" w:customStyle="1" w:styleId="41">
    <w:name w:val="页眉 字符"/>
    <w:basedOn w:val="20"/>
    <w:link w:val="14"/>
    <w:qFormat/>
    <w:uiPriority w:val="9"/>
    <w:rPr>
      <w:rFonts w:ascii="Times New Roman" w:hAnsi="Times New Roman" w:eastAsia="Times New Roman" w:cs="Times New Roman"/>
      <w:kern w:val="0"/>
      <w:sz w:val="18"/>
      <w:szCs w:val="18"/>
      <w:lang w:eastAsia="en-US"/>
      <w14:ligatures w14:val="none"/>
    </w:rPr>
  </w:style>
  <w:style w:type="character" w:customStyle="1" w:styleId="42">
    <w:name w:val="页脚 字符"/>
    <w:basedOn w:val="20"/>
    <w:link w:val="13"/>
    <w:qFormat/>
    <w:uiPriority w:val="99"/>
    <w:rPr>
      <w:rFonts w:ascii="Times New Roman" w:hAnsi="Times New Roman" w:eastAsia="Times New Roman" w:cs="Times New Roman"/>
      <w:kern w:val="0"/>
      <w:sz w:val="18"/>
      <w:szCs w:val="18"/>
      <w:lang w:eastAsia="en-US"/>
      <w14:ligatures w14:val="none"/>
    </w:rPr>
  </w:style>
  <w:style w:type="character" w:customStyle="1" w:styleId="43">
    <w:name w:val="列表段落 字符"/>
    <w:link w:val="36"/>
    <w:qFormat/>
    <w:locked/>
    <w:uiPriority w:val="34"/>
  </w:style>
  <w:style w:type="paragraph" w:customStyle="1" w:styleId="44">
    <w:name w:val="一级标题"/>
    <w:basedOn w:val="17"/>
    <w:qFormat/>
    <w:uiPriority w:val="0"/>
    <w:pPr>
      <w:spacing w:before="240" w:after="60" w:line="440" w:lineRule="exact"/>
      <w:ind w:firstLine="640" w:firstLineChars="200"/>
      <w:contextualSpacing w:val="0"/>
      <w:outlineLvl w:val="0"/>
    </w:pPr>
    <w:rPr>
      <w:rFonts w:ascii="华文中宋" w:hAnsi="华文中宋" w:eastAsia="华文中宋" w:cs="Times New Roman"/>
      <w:b/>
      <w:spacing w:val="0"/>
      <w:kern w:val="0"/>
      <w:sz w:val="32"/>
      <w:szCs w:val="30"/>
      <w:lang w:val="en-GB"/>
    </w:rPr>
  </w:style>
  <w:style w:type="paragraph" w:customStyle="1" w:styleId="45">
    <w:name w:val="Revision"/>
    <w:hidden/>
    <w:semiHidden/>
    <w:qFormat/>
    <w:uiPriority w:val="99"/>
    <w:pPr>
      <w:spacing w:after="0" w:line="240" w:lineRule="auto"/>
    </w:pPr>
    <w:rPr>
      <w:rFonts w:ascii="Times New Roman" w:hAnsi="Times New Roman" w:eastAsia="Times New Roman" w:cs="Times New Roman"/>
      <w:kern w:val="0"/>
      <w:sz w:val="24"/>
      <w:szCs w:val="20"/>
      <w:lang w:val="en-US" w:eastAsia="en-US" w:bidi="ar-SA"/>
      <w14:ligatures w14:val="none"/>
    </w:rPr>
  </w:style>
  <w:style w:type="character" w:customStyle="1" w:styleId="46">
    <w:name w:val="批注文字 字符"/>
    <w:basedOn w:val="20"/>
    <w:link w:val="11"/>
    <w:qFormat/>
    <w:uiPriority w:val="99"/>
    <w:rPr>
      <w:rFonts w:ascii="Times New Roman" w:hAnsi="Times New Roman" w:eastAsia="Times New Roman" w:cs="Times New Roman"/>
      <w:kern w:val="0"/>
      <w:sz w:val="24"/>
      <w:szCs w:val="20"/>
      <w:lang w:eastAsia="en-US"/>
      <w14:ligatures w14:val="none"/>
    </w:rPr>
  </w:style>
  <w:style w:type="character" w:customStyle="1" w:styleId="47">
    <w:name w:val="批注主题 字符"/>
    <w:basedOn w:val="46"/>
    <w:link w:val="18"/>
    <w:semiHidden/>
    <w:qFormat/>
    <w:uiPriority w:val="99"/>
    <w:rPr>
      <w:rFonts w:ascii="Times New Roman" w:hAnsi="Times New Roman" w:eastAsia="Times New Roman" w:cs="Times New Roman"/>
      <w:b/>
      <w:bCs/>
      <w:kern w:val="0"/>
      <w:sz w:val="24"/>
      <w:szCs w:val="20"/>
      <w:lang w:eastAsia="en-US"/>
      <w14:ligatures w14:val="none"/>
    </w:rPr>
  </w:style>
  <w:style w:type="character" w:customStyle="1" w:styleId="48">
    <w:name w:val="脚注文本 字符"/>
    <w:basedOn w:val="20"/>
    <w:link w:val="16"/>
    <w:semiHidden/>
    <w:qFormat/>
    <w:uiPriority w:val="99"/>
    <w:rPr>
      <w:rFonts w:ascii="Times New Roman" w:hAnsi="Times New Roman" w:eastAsia="Times New Roman" w:cs="Times New Roman"/>
      <w:kern w:val="0"/>
      <w:sz w:val="20"/>
      <w:szCs w:val="20"/>
      <w:lang w:eastAsia="en-US"/>
      <w14:ligatures w14:val="none"/>
    </w:rPr>
  </w:style>
  <w:style w:type="paragraph" w:customStyle="1" w:styleId="49">
    <w:name w:val="Style1"/>
    <w:basedOn w:val="1"/>
    <w:qFormat/>
    <w:uiPriority w:val="0"/>
    <w:pPr>
      <w:numPr>
        <w:ilvl w:val="1"/>
        <w:numId w:val="1"/>
      </w:numPr>
    </w:pPr>
    <w:rPr>
      <w:lang w:val="en-CA"/>
    </w:rPr>
  </w:style>
  <w:style w:type="character" w:customStyle="1" w:styleId="50">
    <w:name w:val="正文文本 字符"/>
    <w:basedOn w:val="20"/>
    <w:link w:val="12"/>
    <w:qFormat/>
    <w:uiPriority w:val="0"/>
    <w:rPr>
      <w:rFonts w:ascii="Times New Roman" w:hAnsi="Times New Roman"/>
      <w:kern w:val="0"/>
      <w:sz w:val="24"/>
      <w:szCs w:val="22"/>
      <w:lang w:eastAsia="en-US"/>
      <w14:ligatures w14:val="none"/>
    </w:rPr>
  </w:style>
  <w:style w:type="paragraph" w:customStyle="1" w:styleId="51">
    <w:name w:val="Arbparagra_L1"/>
    <w:basedOn w:val="1"/>
    <w:link w:val="52"/>
    <w:qFormat/>
    <w:uiPriority w:val="0"/>
    <w:pPr>
      <w:autoSpaceDE/>
      <w:autoSpaceDN/>
      <w:adjustRightInd/>
      <w:spacing w:after="240"/>
      <w:jc w:val="both"/>
    </w:pPr>
    <w:rPr>
      <w:rFonts w:eastAsiaTheme="minorEastAsia"/>
    </w:rPr>
  </w:style>
  <w:style w:type="character" w:customStyle="1" w:styleId="52">
    <w:name w:val="Arbparagra_L1 Char"/>
    <w:link w:val="51"/>
    <w:qFormat/>
    <w:uiPriority w:val="0"/>
    <w:rPr>
      <w:rFonts w:ascii="Times New Roman" w:hAnsi="Times New Roman" w:cs="Times New Roman"/>
      <w:kern w:val="0"/>
      <w:sz w:val="24"/>
      <w:szCs w:val="20"/>
      <w:lang w:eastAsia="en-US"/>
      <w14:ligatures w14:val="none"/>
    </w:rPr>
  </w:style>
  <w:style w:type="paragraph" w:customStyle="1" w:styleId="53">
    <w:name w:val="Body A"/>
    <w:link w:val="54"/>
    <w:qFormat/>
    <w:uiPriority w:val="0"/>
    <w:pPr>
      <w:widowControl w:val="0"/>
      <w:spacing w:after="160" w:line="259" w:lineRule="auto"/>
      <w:jc w:val="both"/>
    </w:pPr>
    <w:rPr>
      <w:rFonts w:ascii="Calibri" w:hAnsi="Calibri" w:eastAsia="Calibri" w:cs="Calibri"/>
      <w:color w:val="000000"/>
      <w:kern w:val="2"/>
      <w:sz w:val="21"/>
      <w:szCs w:val="21"/>
      <w:u w:color="000000"/>
      <w:lang w:val="de-DE" w:eastAsia="en-US" w:bidi="ar-SA"/>
      <w14:ligatures w14:val="none"/>
    </w:rPr>
  </w:style>
  <w:style w:type="character" w:customStyle="1" w:styleId="54">
    <w:name w:val="Body A Char"/>
    <w:basedOn w:val="20"/>
    <w:link w:val="53"/>
    <w:qFormat/>
    <w:uiPriority w:val="0"/>
    <w:rPr>
      <w:rFonts w:ascii="Calibri" w:hAnsi="Calibri" w:eastAsia="Calibri" w:cs="Calibri"/>
      <w:color w:val="000000"/>
      <w:sz w:val="21"/>
      <w:szCs w:val="21"/>
      <w:u w:color="000000"/>
      <w:lang w:val="de-DE" w:eastAsia="en-US"/>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2806</Words>
  <Characters>2947</Characters>
  <Lines>140</Lines>
  <Paragraphs>91</Paragraphs>
  <TotalTime>28</TotalTime>
  <ScaleCrop>false</ScaleCrop>
  <LinksUpToDate>false</LinksUpToDate>
  <CharactersWithSpaces>5662</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2025-07-11T10:31:00Z</dcterms:created>
  <dc:creator>oa</dc:creator>
  <cp:lastModifiedBy>oa</cp:lastModifiedBy>
  <dcterms:modified xsi:type="dcterms:W3CDTF">2025-07-14T13:17:44Z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