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spacing w:before="120" w:after="240"/>
        <w:jc w:val="center"/>
        <w:rPr>
          <w:rFonts w:eastAsia="仿宋"/>
          <w:b/>
          <w:caps/>
          <w:kern w:val="0"/>
          <w:sz w:val="32"/>
          <w:szCs w:val="32"/>
          <w:lang w:eastAsia="zh-CN"/>
          <w14:ligatures w14:val="none"/>
        </w:rPr>
      </w:pPr>
      <w:r>
        <w:rPr>
          <w:rFonts w:eastAsia="仿宋"/>
          <w:b/>
          <w:caps/>
          <w:kern w:val="0"/>
          <w:sz w:val="32"/>
          <w:szCs w:val="32"/>
          <w:lang w:eastAsia="zh-CN"/>
          <w14:ligatures w14:val="none"/>
        </w:rPr>
        <w:t>关于全日空控股株式会社收购日本货物航空株式会社股权案的</w:t>
      </w:r>
    </w:p>
    <w:p>
      <w:pPr>
        <w:keepNext/>
        <w:spacing w:before="120" w:after="240"/>
        <w:jc w:val="center"/>
        <w:rPr>
          <w:rFonts w:eastAsia="仿宋"/>
          <w:b/>
          <w:caps/>
          <w:kern w:val="0"/>
          <w:sz w:val="32"/>
          <w:szCs w:val="32"/>
          <w:lang w:eastAsia="zh-CN"/>
          <w14:ligatures w14:val="none"/>
        </w:rPr>
      </w:pPr>
      <w:r>
        <w:rPr>
          <w:rFonts w:eastAsia="仿宋"/>
          <w:b/>
          <w:bCs/>
          <w:caps/>
          <w:kern w:val="0"/>
          <w:sz w:val="32"/>
          <w:szCs w:val="32"/>
          <w:lang w:eastAsia="zh-CN"/>
          <w14:ligatures w14:val="none"/>
        </w:rPr>
        <w:t>附加限制性条件</w:t>
      </w:r>
      <w:r>
        <w:rPr>
          <w:rFonts w:eastAsia="仿宋"/>
          <w:b/>
          <w:caps/>
          <w:kern w:val="0"/>
          <w:sz w:val="32"/>
          <w:szCs w:val="32"/>
          <w:lang w:eastAsia="zh-CN"/>
          <w14:ligatures w14:val="none"/>
        </w:rPr>
        <w:t>承诺方案</w:t>
      </w:r>
    </w:p>
    <w:p>
      <w:pPr>
        <w:keepNext/>
        <w:spacing w:before="120" w:after="240"/>
        <w:jc w:val="center"/>
        <w:rPr>
          <w:rFonts w:eastAsia="仿宋"/>
          <w:kern w:val="0"/>
          <w:sz w:val="32"/>
          <w:szCs w:val="32"/>
          <w:lang w:eastAsia="zh-CN"/>
          <w14:ligatures w14:val="none"/>
        </w:rPr>
      </w:pPr>
      <w:bookmarkStart w:id="5" w:name="_GoBack"/>
      <w:bookmarkEnd w:id="5"/>
    </w:p>
    <w:p>
      <w:pPr>
        <w:widowControl w:val="0"/>
        <w:spacing w:after="120" w:line="360" w:lineRule="auto"/>
        <w:ind w:firstLine="640" w:firstLineChars="200"/>
        <w:jc w:val="both"/>
        <w:rPr>
          <w:rFonts w:hint="eastAsia" w:ascii="仿宋" w:hAnsi="仿宋" w:eastAsia="仿宋"/>
          <w:kern w:val="0"/>
          <w:sz w:val="32"/>
          <w:szCs w:val="32"/>
          <w:lang w:eastAsia="zh-CN"/>
          <w14:ligatures w14:val="none"/>
        </w:rPr>
      </w:pPr>
      <w:r>
        <w:rPr>
          <w:rFonts w:eastAsia="仿宋"/>
          <w:kern w:val="0"/>
          <w:sz w:val="32"/>
          <w:szCs w:val="32"/>
          <w:lang w:eastAsia="zh-CN"/>
          <w14:ligatures w14:val="none"/>
        </w:rPr>
        <w:t>根据《中华人民共和国反垄断法》《经营者集中审查规定》和其他相关法律法规，全日空控股株式会社</w:t>
      </w:r>
      <w:r>
        <w:rPr>
          <w:rFonts w:hint="eastAsia" w:ascii="仿宋" w:hAnsi="仿宋" w:eastAsia="仿宋"/>
          <w:kern w:val="0"/>
          <w:sz w:val="32"/>
          <w:szCs w:val="32"/>
          <w:lang w:eastAsia="zh-CN"/>
          <w14:ligatures w14:val="none"/>
        </w:rPr>
        <w:t>（以下简称</w:t>
      </w:r>
      <w:r>
        <w:rPr>
          <w:rFonts w:hint="eastAsia" w:ascii="仿宋" w:hAnsi="仿宋" w:eastAsia="仿宋"/>
          <w:b/>
          <w:bCs/>
          <w:kern w:val="0"/>
          <w:sz w:val="32"/>
          <w:szCs w:val="32"/>
          <w:lang w:eastAsia="zh-CN"/>
          <w14:ligatures w14:val="none"/>
        </w:rPr>
        <w:t>全日空</w:t>
      </w:r>
      <w:r>
        <w:rPr>
          <w:rFonts w:hint="eastAsia" w:ascii="仿宋" w:hAnsi="仿宋" w:eastAsia="仿宋"/>
          <w:kern w:val="0"/>
          <w:sz w:val="32"/>
          <w:szCs w:val="32"/>
          <w:lang w:eastAsia="zh-CN"/>
          <w14:ligatures w14:val="none"/>
        </w:rPr>
        <w:t>）与日本货物航空株式会社（以下简称</w:t>
      </w:r>
      <w:r>
        <w:rPr>
          <w:rFonts w:hint="eastAsia" w:ascii="仿宋" w:hAnsi="仿宋" w:eastAsia="仿宋"/>
          <w:b/>
          <w:bCs/>
          <w:kern w:val="0"/>
          <w:sz w:val="32"/>
          <w:szCs w:val="32"/>
          <w:lang w:eastAsia="zh-CN"/>
          <w14:ligatures w14:val="none"/>
        </w:rPr>
        <w:t>日本货物航空</w:t>
      </w:r>
      <w:r>
        <w:rPr>
          <w:rFonts w:hint="eastAsia" w:ascii="仿宋" w:hAnsi="仿宋" w:eastAsia="仿宋"/>
          <w:kern w:val="0"/>
          <w:sz w:val="32"/>
          <w:szCs w:val="32"/>
          <w:lang w:eastAsia="zh-CN"/>
          <w14:ligatures w14:val="none"/>
        </w:rPr>
        <w:t>，与全日空合称</w:t>
      </w:r>
      <w:r>
        <w:rPr>
          <w:rFonts w:hint="eastAsia" w:ascii="仿宋" w:hAnsi="仿宋" w:eastAsia="仿宋"/>
          <w:b/>
          <w:bCs/>
          <w:kern w:val="0"/>
          <w:sz w:val="32"/>
          <w:szCs w:val="32"/>
          <w:lang w:eastAsia="zh-CN"/>
          <w14:ligatures w14:val="none"/>
        </w:rPr>
        <w:t>交易双方</w:t>
      </w:r>
      <w:r>
        <w:rPr>
          <w:rFonts w:hint="eastAsia" w:ascii="仿宋" w:hAnsi="仿宋" w:eastAsia="仿宋"/>
          <w:kern w:val="0"/>
          <w:sz w:val="32"/>
          <w:szCs w:val="32"/>
          <w:lang w:eastAsia="zh-CN"/>
          <w14:ligatures w14:val="none"/>
        </w:rPr>
        <w:t>）谨就全日空收购日本货物航空股权案（下称</w:t>
      </w:r>
      <w:r>
        <w:rPr>
          <w:rFonts w:hint="eastAsia" w:ascii="仿宋" w:hAnsi="仿宋" w:eastAsia="仿宋"/>
          <w:b/>
          <w:bCs/>
          <w:kern w:val="0"/>
          <w:sz w:val="32"/>
          <w:szCs w:val="32"/>
          <w:lang w:eastAsia="zh-CN"/>
          <w14:ligatures w14:val="none"/>
        </w:rPr>
        <w:t>本交易</w:t>
      </w:r>
      <w:r>
        <w:rPr>
          <w:rFonts w:hint="eastAsia" w:ascii="仿宋" w:hAnsi="仿宋" w:eastAsia="仿宋"/>
          <w:kern w:val="0"/>
          <w:sz w:val="32"/>
          <w:szCs w:val="32"/>
          <w:lang w:eastAsia="zh-CN"/>
          <w14:ligatures w14:val="none"/>
        </w:rPr>
        <w:t>）向国家市场监督管理总局（以下简称</w:t>
      </w:r>
      <w:r>
        <w:rPr>
          <w:rFonts w:hint="eastAsia" w:ascii="仿宋" w:hAnsi="仿宋" w:eastAsia="仿宋"/>
          <w:b/>
          <w:bCs/>
          <w:kern w:val="0"/>
          <w:sz w:val="32"/>
          <w:szCs w:val="32"/>
          <w:lang w:eastAsia="zh-CN"/>
          <w14:ligatures w14:val="none"/>
        </w:rPr>
        <w:t>市场监管总局</w:t>
      </w:r>
      <w:r>
        <w:rPr>
          <w:rFonts w:hint="eastAsia" w:ascii="仿宋" w:hAnsi="仿宋" w:eastAsia="仿宋"/>
          <w:kern w:val="0"/>
          <w:sz w:val="32"/>
          <w:szCs w:val="32"/>
          <w:lang w:eastAsia="zh-CN"/>
          <w14:ligatures w14:val="none"/>
        </w:rPr>
        <w:t>）提交以下附加限制性条件的承诺方案（以下简称</w:t>
      </w:r>
      <w:r>
        <w:rPr>
          <w:rFonts w:hint="eastAsia" w:ascii="仿宋" w:hAnsi="仿宋" w:eastAsia="仿宋"/>
          <w:b/>
          <w:bCs/>
          <w:kern w:val="0"/>
          <w:sz w:val="32"/>
          <w:szCs w:val="32"/>
          <w:lang w:eastAsia="zh-CN"/>
          <w14:ligatures w14:val="none"/>
        </w:rPr>
        <w:t>承诺方案</w:t>
      </w:r>
      <w:r>
        <w:rPr>
          <w:rFonts w:hint="eastAsia" w:ascii="仿宋" w:hAnsi="仿宋" w:eastAsia="仿宋"/>
          <w:kern w:val="0"/>
          <w:sz w:val="32"/>
          <w:szCs w:val="32"/>
          <w:lang w:eastAsia="zh-CN"/>
          <w14:ligatures w14:val="none"/>
        </w:rPr>
        <w:t>）。</w:t>
      </w:r>
    </w:p>
    <w:p>
      <w:pPr>
        <w:pStyle w:val="2"/>
        <w:jc w:val="center"/>
        <w:rPr>
          <w:rFonts w:eastAsia="仿宋" w:cs="Times New Roman"/>
          <w:b w:val="0"/>
          <w:bCs w:val="0"/>
          <w:kern w:val="0"/>
          <w:sz w:val="32"/>
          <w:szCs w:val="32"/>
          <w:lang w:eastAsia="zh-CN"/>
          <w14:ligatures w14:val="none"/>
        </w:rPr>
      </w:pPr>
      <w:r>
        <w:rPr>
          <w:rFonts w:eastAsia="仿宋" w:cs="Times New Roman"/>
          <w:kern w:val="0"/>
          <w:sz w:val="32"/>
          <w:szCs w:val="32"/>
          <w:lang w:eastAsia="zh-CN"/>
          <w14:ligatures w14:val="none"/>
        </w:rPr>
        <w:t>第一部分 定义</w:t>
      </w:r>
    </w:p>
    <w:p>
      <w:pPr>
        <w:widowControl w:val="0"/>
        <w:spacing w:after="120" w:line="360" w:lineRule="auto"/>
        <w:ind w:firstLine="640" w:firstLineChars="200"/>
        <w:jc w:val="both"/>
        <w:rPr>
          <w:rFonts w:eastAsia="仿宋"/>
          <w:kern w:val="0"/>
          <w:sz w:val="32"/>
          <w:szCs w:val="32"/>
          <w:lang w:eastAsia="zh-CN"/>
          <w14:ligatures w14:val="none"/>
        </w:rPr>
      </w:pPr>
      <w:r>
        <w:rPr>
          <w:rFonts w:eastAsia="仿宋"/>
          <w:kern w:val="0"/>
          <w:sz w:val="32"/>
          <w:szCs w:val="32"/>
          <w:lang w:eastAsia="zh-CN"/>
          <w14:ligatures w14:val="none"/>
        </w:rPr>
        <w:t>就承诺方案而言，以下术语定义如下：</w:t>
      </w:r>
    </w:p>
    <w:p>
      <w:pPr>
        <w:widowControl w:val="0"/>
        <w:spacing w:after="120" w:line="360" w:lineRule="auto"/>
        <w:ind w:firstLine="642" w:firstLineChars="200"/>
        <w:jc w:val="both"/>
        <w:rPr>
          <w:rFonts w:eastAsia="仿宋"/>
          <w:kern w:val="0"/>
          <w:sz w:val="32"/>
          <w:szCs w:val="32"/>
          <w:lang w:eastAsia="zh-CN"/>
          <w14:ligatures w14:val="none"/>
        </w:rPr>
      </w:pPr>
      <w:r>
        <w:rPr>
          <w:rFonts w:eastAsia="仿宋"/>
          <w:b/>
          <w:bCs/>
          <w:kern w:val="0"/>
          <w:sz w:val="32"/>
          <w:szCs w:val="32"/>
          <w:lang w:eastAsia="zh-CN"/>
          <w14:ligatures w14:val="none"/>
        </w:rPr>
        <w:t>全日空</w:t>
      </w:r>
      <w:r>
        <w:rPr>
          <w:rFonts w:eastAsia="仿宋"/>
          <w:kern w:val="0"/>
          <w:sz w:val="32"/>
          <w:szCs w:val="32"/>
          <w:lang w:eastAsia="zh-CN"/>
          <w14:ligatures w14:val="none"/>
        </w:rPr>
        <w:t>：指全日空控股株式会社，一家根据日本法律注册成立的公司，注册地址位于日本东京都港区东新桥1-5-2汐留城中心。</w:t>
      </w:r>
    </w:p>
    <w:p>
      <w:pPr>
        <w:widowControl w:val="0"/>
        <w:spacing w:after="120" w:line="360" w:lineRule="auto"/>
        <w:ind w:firstLine="642" w:firstLineChars="200"/>
        <w:jc w:val="both"/>
        <w:rPr>
          <w:rFonts w:eastAsia="仿宋"/>
          <w:kern w:val="0"/>
          <w:sz w:val="32"/>
          <w:szCs w:val="32"/>
          <w:lang w:eastAsia="zh-CN"/>
          <w14:ligatures w14:val="none"/>
        </w:rPr>
      </w:pPr>
      <w:r>
        <w:rPr>
          <w:rFonts w:eastAsia="仿宋"/>
          <w:b/>
          <w:kern w:val="0"/>
          <w:sz w:val="32"/>
          <w:szCs w:val="32"/>
          <w:lang w:eastAsia="zh-CN"/>
          <w14:ligatures w14:val="none"/>
        </w:rPr>
        <w:t>日本货物航空</w:t>
      </w:r>
      <w:r>
        <w:rPr>
          <w:rFonts w:eastAsia="仿宋"/>
          <w:bCs/>
          <w:kern w:val="0"/>
          <w:sz w:val="32"/>
          <w:szCs w:val="32"/>
          <w:lang w:eastAsia="zh-CN"/>
          <w14:ligatures w14:val="none"/>
        </w:rPr>
        <w:t>：</w:t>
      </w:r>
      <w:r>
        <w:rPr>
          <w:rFonts w:eastAsia="仿宋"/>
          <w:kern w:val="0"/>
          <w:sz w:val="32"/>
          <w:szCs w:val="32"/>
          <w:lang w:eastAsia="zh-CN"/>
          <w14:ligatures w14:val="none"/>
        </w:rPr>
        <w:t>指日本货物航空株式会社，一家根据日本法律注册成立的公司，注册地址位于日本东京港区滨松町1-18-16。</w:t>
      </w:r>
    </w:p>
    <w:p>
      <w:pPr>
        <w:widowControl w:val="0"/>
        <w:spacing w:after="120" w:line="360" w:lineRule="auto"/>
        <w:ind w:firstLine="642" w:firstLineChars="200"/>
        <w:jc w:val="both"/>
        <w:rPr>
          <w:rFonts w:eastAsia="仿宋"/>
          <w:kern w:val="0"/>
          <w:sz w:val="32"/>
          <w:szCs w:val="32"/>
          <w:lang w:eastAsia="zh-CN"/>
          <w14:ligatures w14:val="none"/>
        </w:rPr>
      </w:pPr>
      <w:r>
        <w:rPr>
          <w:rFonts w:eastAsia="仿宋"/>
          <w:b/>
          <w:bCs/>
          <w:kern w:val="0"/>
          <w:sz w:val="32"/>
          <w:szCs w:val="32"/>
          <w:lang w:eastAsia="zh-CN"/>
          <w14:ligatures w14:val="none"/>
        </w:rPr>
        <w:t>限制性条件</w:t>
      </w:r>
      <w:r>
        <w:rPr>
          <w:rFonts w:eastAsia="仿宋"/>
          <w:kern w:val="0"/>
          <w:sz w:val="32"/>
          <w:szCs w:val="32"/>
          <w:lang w:eastAsia="zh-CN"/>
          <w14:ligatures w14:val="none"/>
        </w:rPr>
        <w:t>：指市场监管总局在其《决定》中对本交易所附加的限制性条件。</w:t>
      </w:r>
    </w:p>
    <w:p>
      <w:pPr>
        <w:widowControl w:val="0"/>
        <w:spacing w:after="120" w:line="360" w:lineRule="auto"/>
        <w:ind w:firstLine="642" w:firstLineChars="200"/>
        <w:jc w:val="both"/>
        <w:rPr>
          <w:rFonts w:eastAsia="仿宋"/>
          <w:kern w:val="0"/>
          <w:sz w:val="32"/>
          <w:szCs w:val="32"/>
          <w:lang w:eastAsia="zh-CN"/>
          <w14:ligatures w14:val="none"/>
        </w:rPr>
      </w:pPr>
      <w:r>
        <w:rPr>
          <w:rFonts w:eastAsia="仿宋"/>
          <w:b/>
          <w:bCs/>
          <w:kern w:val="0"/>
          <w:sz w:val="32"/>
          <w:szCs w:val="32"/>
          <w:lang w:eastAsia="zh-CN"/>
          <w14:ligatures w14:val="none"/>
        </w:rPr>
        <w:t>交割</w:t>
      </w:r>
      <w:r>
        <w:rPr>
          <w:rFonts w:eastAsia="仿宋"/>
          <w:kern w:val="0"/>
          <w:sz w:val="32"/>
          <w:szCs w:val="32"/>
          <w:lang w:eastAsia="zh-CN"/>
          <w14:ligatures w14:val="none"/>
        </w:rPr>
        <w:t>：指根据2023年7月10日全日空与日本邮船株式会社签署的《业务转让协议》和全日空与日本货物航空签署的《股份交换协议》完成本交易。</w:t>
      </w:r>
    </w:p>
    <w:p>
      <w:pPr>
        <w:widowControl w:val="0"/>
        <w:spacing w:after="120" w:line="360" w:lineRule="auto"/>
        <w:ind w:firstLine="642" w:firstLineChars="200"/>
        <w:jc w:val="both"/>
        <w:rPr>
          <w:rFonts w:eastAsia="仿宋"/>
          <w:sz w:val="32"/>
          <w:szCs w:val="32"/>
          <w:lang w:eastAsia="zh-CN"/>
          <w14:ligatures w14:val="none"/>
        </w:rPr>
      </w:pPr>
      <w:r>
        <w:rPr>
          <w:rFonts w:eastAsia="仿宋"/>
          <w:b/>
          <w:bCs/>
          <w:kern w:val="0"/>
          <w:sz w:val="32"/>
          <w:szCs w:val="32"/>
          <w:lang w:eastAsia="zh-CN"/>
          <w14:ligatures w14:val="none"/>
        </w:rPr>
        <w:t>集中后实体</w:t>
      </w:r>
      <w:r>
        <w:rPr>
          <w:rFonts w:eastAsia="仿宋"/>
          <w:kern w:val="0"/>
          <w:sz w:val="32"/>
          <w:szCs w:val="32"/>
          <w:lang w:eastAsia="zh-CN"/>
          <w14:ligatures w14:val="none"/>
        </w:rPr>
        <w:t>：指本交易交割后合并的全日空和日本货物航空。</w:t>
      </w:r>
    </w:p>
    <w:p>
      <w:pPr>
        <w:widowControl w:val="0"/>
        <w:spacing w:after="120" w:line="360" w:lineRule="auto"/>
        <w:ind w:firstLine="642" w:firstLineChars="200"/>
        <w:jc w:val="both"/>
        <w:rPr>
          <w:rFonts w:eastAsia="仿宋"/>
          <w:kern w:val="0"/>
          <w:sz w:val="32"/>
          <w:szCs w:val="32"/>
          <w:lang w:eastAsia="zh-CN"/>
          <w14:ligatures w14:val="none"/>
        </w:rPr>
      </w:pPr>
      <w:r>
        <w:rPr>
          <w:rFonts w:eastAsia="仿宋"/>
          <w:b/>
          <w:bCs/>
          <w:kern w:val="0"/>
          <w:sz w:val="32"/>
          <w:szCs w:val="32"/>
          <w:lang w:eastAsia="zh-CN"/>
          <w14:ligatures w14:val="none"/>
        </w:rPr>
        <w:t>航空货运服务</w:t>
      </w:r>
      <w:r>
        <w:rPr>
          <w:rFonts w:eastAsia="仿宋"/>
          <w:kern w:val="0"/>
          <w:sz w:val="32"/>
          <w:szCs w:val="32"/>
          <w:lang w:eastAsia="zh-CN"/>
          <w14:ligatures w14:val="none"/>
        </w:rPr>
        <w:t>：指使用飞机运送货物的运输业务。</w:t>
      </w:r>
    </w:p>
    <w:p>
      <w:pPr>
        <w:widowControl w:val="0"/>
        <w:spacing w:after="120" w:line="360" w:lineRule="auto"/>
        <w:ind w:firstLine="642" w:firstLineChars="200"/>
        <w:jc w:val="both"/>
        <w:rPr>
          <w:rFonts w:eastAsia="仿宋"/>
          <w:sz w:val="32"/>
          <w:szCs w:val="32"/>
          <w:lang w:eastAsia="zh-CN"/>
        </w:rPr>
      </w:pPr>
      <w:r>
        <w:rPr>
          <w:rFonts w:eastAsia="仿宋"/>
          <w:b/>
          <w:bCs/>
          <w:kern w:val="0"/>
          <w:sz w:val="32"/>
          <w:szCs w:val="32"/>
          <w:lang w:eastAsia="zh-CN"/>
          <w14:ligatures w14:val="none"/>
        </w:rPr>
        <w:t>集成商</w:t>
      </w:r>
      <w:r>
        <w:rPr>
          <w:rFonts w:eastAsia="仿宋"/>
          <w:kern w:val="0"/>
          <w:sz w:val="32"/>
          <w:szCs w:val="32"/>
          <w:lang w:eastAsia="zh-CN"/>
          <w14:ligatures w14:val="none"/>
        </w:rPr>
        <w:t>：指不仅提供机场到机场的运输服务，同时还提供从起运点到机场以及从机场到最终目的地货物运输服务（包括负责报关等法律手续服务）的经营者。</w:t>
      </w:r>
    </w:p>
    <w:p>
      <w:pPr>
        <w:widowControl w:val="0"/>
        <w:spacing w:after="120" w:line="360" w:lineRule="auto"/>
        <w:ind w:firstLine="642" w:firstLineChars="200"/>
        <w:jc w:val="both"/>
        <w:rPr>
          <w:rFonts w:eastAsia="仿宋"/>
          <w:kern w:val="0"/>
          <w:sz w:val="32"/>
          <w:szCs w:val="32"/>
          <w:lang w:eastAsia="zh-CN"/>
          <w14:ligatures w14:val="none"/>
        </w:rPr>
      </w:pPr>
      <w:r>
        <w:rPr>
          <w:rFonts w:eastAsia="仿宋"/>
          <w:b/>
          <w:bCs/>
          <w:kern w:val="0"/>
          <w:sz w:val="32"/>
          <w:szCs w:val="32"/>
          <w:lang w:eastAsia="zh-CN"/>
          <w14:ligatures w14:val="none"/>
        </w:rPr>
        <w:t>航空公司</w:t>
      </w:r>
      <w:r>
        <w:rPr>
          <w:rFonts w:eastAsia="仿宋"/>
          <w:kern w:val="0"/>
          <w:sz w:val="32"/>
          <w:szCs w:val="32"/>
          <w:lang w:eastAsia="zh-CN"/>
          <w14:ligatures w14:val="none"/>
        </w:rPr>
        <w:t>：指提供航空货运服务的一家或多家公司，不包括集成商。</w:t>
      </w:r>
    </w:p>
    <w:p>
      <w:pPr>
        <w:widowControl w:val="0"/>
        <w:spacing w:after="120" w:line="360" w:lineRule="auto"/>
        <w:ind w:firstLine="642" w:firstLineChars="200"/>
        <w:jc w:val="both"/>
        <w:rPr>
          <w:rFonts w:eastAsia="仿宋"/>
          <w:kern w:val="0"/>
          <w:sz w:val="32"/>
          <w:szCs w:val="32"/>
          <w:lang w:eastAsia="zh-CN"/>
          <w14:ligatures w14:val="none"/>
        </w:rPr>
      </w:pPr>
      <w:r>
        <w:rPr>
          <w:rFonts w:eastAsia="仿宋"/>
          <w:b/>
          <w:bCs/>
          <w:kern w:val="0"/>
          <w:sz w:val="32"/>
          <w:szCs w:val="32"/>
          <w:lang w:eastAsia="zh-CN"/>
          <w14:ligatures w14:val="none"/>
        </w:rPr>
        <w:t>中国=日本航线</w:t>
      </w:r>
      <w:r>
        <w:rPr>
          <w:rFonts w:eastAsia="仿宋"/>
          <w:kern w:val="0"/>
          <w:sz w:val="32"/>
          <w:szCs w:val="32"/>
          <w:lang w:eastAsia="zh-CN"/>
          <w14:ligatures w14:val="none"/>
        </w:rPr>
        <w:t>：指从中国</w:t>
      </w:r>
      <w:r>
        <w:rPr>
          <w:rFonts w:hint="eastAsia" w:eastAsia="仿宋"/>
          <w:kern w:val="0"/>
          <w:sz w:val="32"/>
          <w:szCs w:val="32"/>
          <w:lang w:eastAsia="zh-CN"/>
          <w14:ligatures w14:val="none"/>
        </w:rPr>
        <w:t>境内</w:t>
      </w:r>
      <w:r>
        <w:rPr>
          <w:rFonts w:eastAsia="仿宋"/>
          <w:kern w:val="0"/>
          <w:sz w:val="32"/>
          <w:szCs w:val="32"/>
          <w:lang w:eastAsia="zh-CN"/>
          <w14:ligatures w14:val="none"/>
        </w:rPr>
        <w:t>出发到达日本和/或从日本出发到达中国</w:t>
      </w:r>
      <w:r>
        <w:rPr>
          <w:rFonts w:hint="eastAsia" w:eastAsia="仿宋"/>
          <w:kern w:val="0"/>
          <w:sz w:val="32"/>
          <w:szCs w:val="32"/>
          <w:lang w:eastAsia="zh-CN"/>
          <w14:ligatures w14:val="none"/>
        </w:rPr>
        <w:t>境内</w:t>
      </w:r>
      <w:r>
        <w:rPr>
          <w:rFonts w:eastAsia="仿宋"/>
          <w:kern w:val="0"/>
          <w:sz w:val="32"/>
          <w:szCs w:val="32"/>
          <w:lang w:eastAsia="zh-CN"/>
          <w14:ligatures w14:val="none"/>
        </w:rPr>
        <w:t>的航空货运服务航线，不包括始发机场和/或目的地机场位于中国</w:t>
      </w:r>
      <w:r>
        <w:rPr>
          <w:rFonts w:hint="eastAsia" w:eastAsia="仿宋"/>
          <w:kern w:val="0"/>
          <w:sz w:val="32"/>
          <w:szCs w:val="32"/>
          <w:lang w:eastAsia="zh-CN"/>
          <w14:ligatures w14:val="none"/>
        </w:rPr>
        <w:t>境内</w:t>
      </w:r>
      <w:r>
        <w:rPr>
          <w:rFonts w:eastAsia="仿宋"/>
          <w:kern w:val="0"/>
          <w:sz w:val="32"/>
          <w:szCs w:val="32"/>
          <w:lang w:eastAsia="zh-CN"/>
          <w14:ligatures w14:val="none"/>
        </w:rPr>
        <w:t>或日本以外的国家或地区的过境航线。</w:t>
      </w:r>
    </w:p>
    <w:p>
      <w:pPr>
        <w:widowControl w:val="0"/>
        <w:spacing w:after="120" w:line="360" w:lineRule="auto"/>
        <w:ind w:firstLine="642" w:firstLineChars="200"/>
        <w:jc w:val="both"/>
        <w:rPr>
          <w:rFonts w:eastAsia="仿宋"/>
          <w:sz w:val="32"/>
          <w:szCs w:val="32"/>
          <w:lang w:eastAsia="zh-CN"/>
        </w:rPr>
      </w:pPr>
      <w:r>
        <w:rPr>
          <w:rFonts w:eastAsia="仿宋"/>
          <w:b/>
          <w:bCs/>
          <w:sz w:val="32"/>
          <w:szCs w:val="32"/>
          <w:lang w:eastAsia="zh-CN"/>
        </w:rPr>
        <w:t>货物地面服务</w:t>
      </w:r>
      <w:r>
        <w:rPr>
          <w:rFonts w:eastAsia="仿宋"/>
          <w:kern w:val="0"/>
          <w:sz w:val="32"/>
          <w:szCs w:val="32"/>
          <w:lang w:eastAsia="zh-CN"/>
          <w14:ligatures w14:val="none"/>
        </w:rPr>
        <w:t>：</w:t>
      </w:r>
      <w:r>
        <w:rPr>
          <w:rFonts w:eastAsia="仿宋"/>
          <w:sz w:val="32"/>
          <w:szCs w:val="32"/>
          <w:lang w:eastAsia="zh-CN"/>
        </w:rPr>
        <w:t>指</w:t>
      </w:r>
      <w:r>
        <w:rPr>
          <w:rFonts w:hint="eastAsia" w:eastAsia="仿宋"/>
          <w:sz w:val="32"/>
          <w:szCs w:val="32"/>
          <w:lang w:eastAsia="zh-CN"/>
        </w:rPr>
        <w:t>视需要提供的</w:t>
      </w:r>
      <w:r>
        <w:rPr>
          <w:rFonts w:eastAsia="仿宋"/>
          <w:sz w:val="32"/>
          <w:szCs w:val="32"/>
          <w:lang w:eastAsia="zh-CN"/>
        </w:rPr>
        <w:t>货物</w:t>
      </w:r>
      <w:r>
        <w:rPr>
          <w:rFonts w:hint="eastAsia" w:eastAsia="仿宋"/>
          <w:sz w:val="32"/>
          <w:szCs w:val="32"/>
          <w:lang w:eastAsia="zh-CN"/>
        </w:rPr>
        <w:t>的接收、装卸、存储、转运、安检和清关服务</w:t>
      </w:r>
      <w:r>
        <w:rPr>
          <w:rFonts w:eastAsia="仿宋"/>
          <w:sz w:val="32"/>
          <w:szCs w:val="32"/>
          <w:lang w:eastAsia="zh-CN"/>
        </w:rPr>
        <w:t>。</w:t>
      </w:r>
    </w:p>
    <w:p>
      <w:pPr>
        <w:widowControl w:val="0"/>
        <w:spacing w:after="120" w:line="360" w:lineRule="auto"/>
        <w:ind w:firstLine="642" w:firstLineChars="200"/>
        <w:jc w:val="both"/>
        <w:rPr>
          <w:rFonts w:eastAsia="仿宋"/>
          <w:sz w:val="32"/>
          <w:szCs w:val="32"/>
          <w:highlight w:val="yellow"/>
          <w:lang w:eastAsia="zh-CN"/>
        </w:rPr>
      </w:pPr>
      <w:r>
        <w:rPr>
          <w:rFonts w:hint="eastAsia" w:eastAsia="仿宋"/>
          <w:b/>
          <w:bCs/>
          <w:sz w:val="32"/>
          <w:szCs w:val="32"/>
          <w:lang w:eastAsia="zh-CN"/>
        </w:rPr>
        <w:t>现有协议</w:t>
      </w:r>
      <w:r>
        <w:rPr>
          <w:rFonts w:hint="eastAsia" w:eastAsia="仿宋"/>
          <w:sz w:val="32"/>
          <w:szCs w:val="32"/>
          <w:lang w:eastAsia="zh-CN"/>
        </w:rPr>
        <w:t>：指本承诺方案的</w:t>
      </w:r>
      <w:r>
        <w:rPr>
          <w:rFonts w:hint="eastAsia" w:eastAsia="仿宋"/>
          <w:b/>
          <w:bCs/>
          <w:sz w:val="32"/>
          <w:szCs w:val="32"/>
          <w:lang w:eastAsia="zh-CN"/>
        </w:rPr>
        <w:t>保密附件</w:t>
      </w:r>
      <w:r>
        <w:rPr>
          <w:rFonts w:eastAsia="仿宋"/>
          <w:b/>
          <w:bCs/>
          <w:sz w:val="32"/>
          <w:szCs w:val="32"/>
          <w:lang w:eastAsia="zh-CN"/>
        </w:rPr>
        <w:t>A</w:t>
      </w:r>
      <w:r>
        <w:rPr>
          <w:rFonts w:hint="eastAsia" w:eastAsia="仿宋"/>
          <w:sz w:val="32"/>
          <w:szCs w:val="32"/>
          <w:lang w:eastAsia="zh-CN"/>
        </w:rPr>
        <w:t>中列出的截至生效日与航空公司签订的中国=日本航线定期航班在东京成田国际机场和关西国际机场关于货运地面服务的协议。</w:t>
      </w:r>
    </w:p>
    <w:p>
      <w:pPr>
        <w:widowControl w:val="0"/>
        <w:spacing w:after="120" w:line="360" w:lineRule="auto"/>
        <w:ind w:firstLine="642" w:firstLineChars="200"/>
        <w:jc w:val="both"/>
        <w:rPr>
          <w:rFonts w:eastAsia="仿宋"/>
          <w:kern w:val="0"/>
          <w:sz w:val="32"/>
          <w:szCs w:val="32"/>
          <w:lang w:eastAsia="zh-TW"/>
          <w14:ligatures w14:val="none"/>
        </w:rPr>
      </w:pPr>
      <w:r>
        <w:rPr>
          <w:rFonts w:eastAsia="仿宋"/>
          <w:b/>
          <w:kern w:val="0"/>
          <w:sz w:val="32"/>
          <w:szCs w:val="32"/>
          <w:lang w:eastAsia="zh-CN"/>
          <w14:ligatures w14:val="none"/>
        </w:rPr>
        <w:t>新进入者</w:t>
      </w:r>
      <w:r>
        <w:rPr>
          <w:rFonts w:eastAsia="仿宋"/>
          <w:kern w:val="0"/>
          <w:sz w:val="32"/>
          <w:szCs w:val="32"/>
          <w:lang w:eastAsia="zh-CN"/>
          <w14:ligatures w14:val="none"/>
        </w:rPr>
        <w:t>：指（1）不提供中国=日本航线航空货运服务，但计划在有效期内的任一IATA航季进入中国=日本航线航空货运服务市场的，或（2）目前在中国=日本航线提供航空货运服务并有意在有效期内的任一IATA航季在相关航线上增加班次的中国</w:t>
      </w:r>
      <w:r>
        <w:rPr>
          <w:rFonts w:hint="eastAsia" w:eastAsia="仿宋"/>
          <w:kern w:val="0"/>
          <w:sz w:val="32"/>
          <w:szCs w:val="32"/>
          <w:lang w:eastAsia="zh-CN"/>
          <w14:ligatures w14:val="none"/>
        </w:rPr>
        <w:t>境内</w:t>
      </w:r>
      <w:r>
        <w:rPr>
          <w:rFonts w:eastAsia="仿宋"/>
          <w:kern w:val="0"/>
          <w:sz w:val="32"/>
          <w:szCs w:val="32"/>
          <w:lang w:eastAsia="zh-CN"/>
          <w14:ligatures w14:val="none"/>
        </w:rPr>
        <w:t>航空公司，不包括集成商。</w:t>
      </w:r>
    </w:p>
    <w:p>
      <w:pPr>
        <w:widowControl w:val="0"/>
        <w:spacing w:after="120" w:line="360" w:lineRule="auto"/>
        <w:ind w:firstLine="642" w:firstLineChars="200"/>
        <w:jc w:val="both"/>
        <w:rPr>
          <w:rFonts w:eastAsia="仿宋"/>
          <w:kern w:val="0"/>
          <w:sz w:val="32"/>
          <w:szCs w:val="32"/>
          <w:lang w:eastAsia="zh-CN"/>
          <w14:ligatures w14:val="none"/>
        </w:rPr>
      </w:pPr>
      <w:r>
        <w:rPr>
          <w:rFonts w:eastAsia="仿宋"/>
          <w:b/>
          <w:kern w:val="0"/>
          <w:sz w:val="32"/>
          <w:szCs w:val="32"/>
          <w:lang w:eastAsia="zh-CN"/>
          <w14:ligatures w14:val="none"/>
        </w:rPr>
        <w:t>IATA航季</w:t>
      </w:r>
      <w:r>
        <w:rPr>
          <w:rFonts w:eastAsia="仿宋"/>
          <w:kern w:val="0"/>
          <w:sz w:val="32"/>
          <w:szCs w:val="32"/>
          <w:lang w:eastAsia="zh-CN"/>
          <w14:ligatures w14:val="none"/>
        </w:rPr>
        <w:t>：指（1）国际航空运输协会（IATA）夏季航季，从三月的最后一个星期日开始，到十月的最后一个星期日前的星期六结束；或（2）IATA冬季航季，从十月的最后一个星期日开始，到次年三月的最后一个星期日前的星期六结束。</w:t>
      </w:r>
    </w:p>
    <w:p>
      <w:pPr>
        <w:widowControl w:val="0"/>
        <w:spacing w:after="120" w:line="360" w:lineRule="auto"/>
        <w:ind w:firstLine="642" w:firstLineChars="200"/>
        <w:jc w:val="both"/>
        <w:rPr>
          <w:rFonts w:eastAsia="仿宋"/>
          <w:kern w:val="0"/>
          <w:sz w:val="32"/>
          <w:szCs w:val="32"/>
          <w:lang w:eastAsia="zh-CN"/>
          <w14:ligatures w14:val="none"/>
        </w:rPr>
      </w:pPr>
      <w:r>
        <w:rPr>
          <w:rFonts w:eastAsia="仿宋"/>
          <w:b/>
          <w:bCs/>
          <w:kern w:val="0"/>
          <w:sz w:val="32"/>
          <w:szCs w:val="32"/>
          <w:lang w:eastAsia="zh-CN"/>
          <w14:ligatures w14:val="none"/>
        </w:rPr>
        <w:t>航班时刻：</w:t>
      </w:r>
      <w:r>
        <w:rPr>
          <w:rFonts w:eastAsia="仿宋"/>
          <w:kern w:val="0"/>
          <w:sz w:val="32"/>
          <w:szCs w:val="32"/>
          <w:lang w:eastAsia="zh-CN"/>
          <w14:ligatures w14:val="none"/>
        </w:rPr>
        <w:t>指航空运营商在机场运营航空服务需获得的在特定日期和时间起降的许可，需与开展该服务所必需的机场全套基础设施（停机位、登机口使用权限）结合使用。一对航班时刻包括在一特定机场的起飞和降落时刻。</w:t>
      </w:r>
    </w:p>
    <w:p>
      <w:pPr>
        <w:widowControl w:val="0"/>
        <w:spacing w:after="120" w:line="360" w:lineRule="auto"/>
        <w:ind w:firstLine="642" w:firstLineChars="200"/>
        <w:jc w:val="both"/>
        <w:rPr>
          <w:rFonts w:eastAsia="仿宋"/>
          <w:kern w:val="0"/>
          <w:sz w:val="32"/>
          <w:szCs w:val="32"/>
          <w:lang w:eastAsia="zh-CN"/>
          <w14:ligatures w14:val="none"/>
        </w:rPr>
      </w:pPr>
      <w:r>
        <w:rPr>
          <w:rFonts w:eastAsia="仿宋"/>
          <w:b/>
          <w:bCs/>
          <w:kern w:val="0"/>
          <w:sz w:val="32"/>
          <w:szCs w:val="32"/>
          <w:lang w:eastAsia="zh-CN"/>
          <w14:ligatures w14:val="none"/>
        </w:rPr>
        <w:t>航班时刻</w:t>
      </w:r>
      <w:r>
        <w:rPr>
          <w:rFonts w:hint="eastAsia" w:eastAsia="仿宋"/>
          <w:b/>
          <w:bCs/>
          <w:kern w:val="0"/>
          <w:sz w:val="32"/>
          <w:szCs w:val="32"/>
          <w:lang w:eastAsia="zh-CN"/>
          <w14:ligatures w14:val="none"/>
        </w:rPr>
        <w:t>转让</w:t>
      </w:r>
      <w:r>
        <w:rPr>
          <w:rFonts w:eastAsia="仿宋"/>
          <w:b/>
          <w:bCs/>
          <w:kern w:val="0"/>
          <w:sz w:val="32"/>
          <w:szCs w:val="32"/>
          <w:lang w:eastAsia="zh-CN"/>
          <w14:ligatures w14:val="none"/>
        </w:rPr>
        <w:t>航线</w:t>
      </w:r>
      <w:r>
        <w:rPr>
          <w:rFonts w:eastAsia="仿宋"/>
          <w:kern w:val="0"/>
          <w:sz w:val="32"/>
          <w:szCs w:val="32"/>
          <w:lang w:eastAsia="zh-CN"/>
          <w14:ligatures w14:val="none"/>
        </w:rPr>
        <w:t>：为本限制性条件之目的，指上海浦东国际机场和东京成田国际机场间的城市对航线。</w:t>
      </w:r>
    </w:p>
    <w:p>
      <w:pPr>
        <w:widowControl w:val="0"/>
        <w:spacing w:after="120" w:line="360" w:lineRule="auto"/>
        <w:ind w:firstLine="642" w:firstLineChars="200"/>
        <w:jc w:val="both"/>
        <w:rPr>
          <w:rFonts w:eastAsia="仿宋"/>
          <w:b/>
          <w:bCs/>
          <w:kern w:val="0"/>
          <w:sz w:val="32"/>
          <w:szCs w:val="32"/>
          <w:lang w:eastAsia="zh-CN"/>
          <w14:ligatures w14:val="none"/>
        </w:rPr>
      </w:pPr>
      <w:r>
        <w:rPr>
          <w:rFonts w:eastAsia="仿宋"/>
          <w:b/>
          <w:bCs/>
          <w:kern w:val="0"/>
          <w:sz w:val="32"/>
          <w:szCs w:val="32"/>
          <w:lang w:eastAsia="zh-CN"/>
          <w14:ligatures w14:val="none"/>
        </w:rPr>
        <w:t>《决定》</w:t>
      </w:r>
      <w:r>
        <w:rPr>
          <w:rFonts w:eastAsia="仿宋"/>
          <w:kern w:val="0"/>
          <w:sz w:val="32"/>
          <w:szCs w:val="32"/>
          <w:lang w:eastAsia="zh-CN"/>
          <w14:ligatures w14:val="none"/>
        </w:rPr>
        <w:t>：指市场监管总局就本交易发布的附加限制性条件批准经营者集中的决定。</w:t>
      </w:r>
    </w:p>
    <w:p>
      <w:pPr>
        <w:widowControl w:val="0"/>
        <w:spacing w:after="120" w:line="360" w:lineRule="auto"/>
        <w:ind w:firstLine="642" w:firstLineChars="200"/>
        <w:jc w:val="both"/>
        <w:rPr>
          <w:rFonts w:eastAsia="仿宋"/>
          <w:kern w:val="0"/>
          <w:sz w:val="32"/>
          <w:szCs w:val="32"/>
          <w:lang w:eastAsia="zh-CN"/>
          <w14:ligatures w14:val="none"/>
        </w:rPr>
      </w:pPr>
      <w:r>
        <w:rPr>
          <w:rFonts w:eastAsia="仿宋"/>
          <w:b/>
          <w:bCs/>
          <w:kern w:val="0"/>
          <w:sz w:val="32"/>
          <w:szCs w:val="32"/>
          <w:lang w:eastAsia="zh-CN"/>
          <w14:ligatures w14:val="none"/>
        </w:rPr>
        <w:t>生效日</w:t>
      </w:r>
      <w:r>
        <w:rPr>
          <w:rFonts w:eastAsia="仿宋"/>
          <w:kern w:val="0"/>
          <w:sz w:val="32"/>
          <w:szCs w:val="32"/>
          <w:lang w:eastAsia="zh-CN"/>
          <w14:ligatures w14:val="none"/>
        </w:rPr>
        <w:t>：指《决定》公布之日。</w:t>
      </w:r>
    </w:p>
    <w:p>
      <w:pPr>
        <w:widowControl w:val="0"/>
        <w:spacing w:after="120" w:line="360" w:lineRule="auto"/>
        <w:ind w:firstLine="642" w:firstLineChars="200"/>
        <w:jc w:val="both"/>
        <w:rPr>
          <w:rFonts w:eastAsia="仿宋"/>
          <w:kern w:val="0"/>
          <w:sz w:val="32"/>
          <w:szCs w:val="32"/>
          <w:lang w:eastAsia="zh-CN"/>
          <w14:ligatures w14:val="none"/>
        </w:rPr>
      </w:pPr>
      <w:r>
        <w:rPr>
          <w:rFonts w:hint="eastAsia" w:eastAsia="仿宋"/>
          <w:b/>
          <w:bCs/>
          <w:kern w:val="0"/>
          <w:sz w:val="32"/>
          <w:szCs w:val="32"/>
          <w:lang w:eastAsia="zh-CN"/>
          <w14:ligatures w14:val="none"/>
        </w:rPr>
        <w:t>第一阶段：</w:t>
      </w:r>
      <w:r>
        <w:rPr>
          <w:rFonts w:hint="eastAsia" w:eastAsia="仿宋"/>
          <w:kern w:val="0"/>
          <w:sz w:val="32"/>
          <w:szCs w:val="32"/>
          <w:lang w:eastAsia="zh-CN"/>
          <w14:ligatures w14:val="none"/>
        </w:rPr>
        <w:t>自生效日起六个月的期间。</w:t>
      </w:r>
    </w:p>
    <w:p>
      <w:pPr>
        <w:widowControl w:val="0"/>
        <w:spacing w:after="120" w:line="360" w:lineRule="auto"/>
        <w:ind w:firstLine="642" w:firstLineChars="200"/>
        <w:jc w:val="both"/>
        <w:rPr>
          <w:rFonts w:eastAsia="仿宋"/>
          <w:kern w:val="0"/>
          <w:sz w:val="32"/>
          <w:szCs w:val="32"/>
          <w:lang w:eastAsia="zh-CN"/>
          <w14:ligatures w14:val="none"/>
        </w:rPr>
      </w:pPr>
      <w:r>
        <w:rPr>
          <w:rFonts w:hint="eastAsia" w:eastAsia="仿宋"/>
          <w:b/>
          <w:bCs/>
          <w:kern w:val="0"/>
          <w:sz w:val="32"/>
          <w:szCs w:val="32"/>
          <w:lang w:eastAsia="zh-CN"/>
          <w14:ligatures w14:val="none"/>
        </w:rPr>
        <w:t>第二阶段</w:t>
      </w:r>
      <w:r>
        <w:rPr>
          <w:rFonts w:hint="eastAsia" w:eastAsia="仿宋"/>
          <w:kern w:val="0"/>
          <w:sz w:val="32"/>
          <w:szCs w:val="32"/>
          <w:lang w:eastAsia="zh-CN"/>
          <w14:ligatures w14:val="none"/>
        </w:rPr>
        <w:t>：自监督受托人指定新进入者之日起三个月的期间。</w:t>
      </w:r>
    </w:p>
    <w:p>
      <w:pPr>
        <w:widowControl w:val="0"/>
        <w:spacing w:after="120" w:line="360" w:lineRule="auto"/>
        <w:ind w:firstLine="642" w:firstLineChars="200"/>
        <w:jc w:val="both"/>
        <w:rPr>
          <w:rFonts w:eastAsia="仿宋"/>
          <w:b/>
          <w:bCs/>
          <w:kern w:val="0"/>
          <w:sz w:val="32"/>
          <w:szCs w:val="32"/>
          <w:lang w:eastAsia="zh-CN"/>
          <w14:ligatures w14:val="none"/>
        </w:rPr>
      </w:pPr>
      <w:r>
        <w:rPr>
          <w:rFonts w:eastAsia="仿宋"/>
          <w:b/>
          <w:kern w:val="0"/>
          <w:sz w:val="32"/>
          <w:szCs w:val="32"/>
          <w:lang w:eastAsia="zh-CN"/>
          <w14:ligatures w14:val="none"/>
        </w:rPr>
        <w:t>有效期</w:t>
      </w:r>
      <w:r>
        <w:rPr>
          <w:rFonts w:eastAsia="仿宋"/>
          <w:kern w:val="0"/>
          <w:sz w:val="32"/>
          <w:szCs w:val="32"/>
          <w:lang w:eastAsia="zh-CN"/>
          <w14:ligatures w14:val="none"/>
        </w:rPr>
        <w:t>：指本承诺方案第四部分所规定的限制性条件自生效日开始持续有效的时限。</w:t>
      </w:r>
    </w:p>
    <w:p>
      <w:pPr>
        <w:widowControl w:val="0"/>
        <w:spacing w:after="120" w:line="360" w:lineRule="auto"/>
        <w:ind w:firstLine="642" w:firstLineChars="200"/>
        <w:jc w:val="both"/>
        <w:rPr>
          <w:rFonts w:eastAsia="仿宋"/>
          <w:b/>
          <w:bCs/>
          <w:kern w:val="0"/>
          <w:sz w:val="32"/>
          <w:szCs w:val="32"/>
          <w:lang w:eastAsia="zh-CN"/>
          <w14:ligatures w14:val="none"/>
        </w:rPr>
      </w:pPr>
      <w:bookmarkStart w:id="0" w:name="_Hlk195728445"/>
      <w:r>
        <w:rPr>
          <w:rFonts w:eastAsia="仿宋"/>
          <w:b/>
          <w:kern w:val="0"/>
          <w:sz w:val="32"/>
          <w:szCs w:val="32"/>
          <w:lang w:eastAsia="zh-CN"/>
          <w14:ligatures w14:val="none"/>
        </w:rPr>
        <w:t>监督受托人</w:t>
      </w:r>
      <w:bookmarkEnd w:id="0"/>
      <w:r>
        <w:rPr>
          <w:rFonts w:eastAsia="仿宋"/>
          <w:kern w:val="0"/>
          <w:sz w:val="32"/>
          <w:szCs w:val="32"/>
          <w:lang w:eastAsia="zh-CN"/>
          <w14:ligatures w14:val="none"/>
        </w:rPr>
        <w:t>：指符合《经营者集中审查规定》，由交易方及集中后实体委托并经市场监管总局评估确定，负责对交易方及集中后实体实施限制性条件进行监督并向市场监管总局报告的自然人、法人或其他组织。</w:t>
      </w:r>
    </w:p>
    <w:p>
      <w:pPr>
        <w:widowControl w:val="0"/>
        <w:spacing w:after="120" w:line="360" w:lineRule="auto"/>
        <w:ind w:firstLine="642" w:firstLineChars="200"/>
        <w:jc w:val="both"/>
        <w:rPr>
          <w:rFonts w:eastAsia="仿宋"/>
          <w:kern w:val="0"/>
          <w:sz w:val="32"/>
          <w:szCs w:val="32"/>
          <w:lang w:eastAsia="zh-CN"/>
          <w14:ligatures w14:val="none"/>
        </w:rPr>
      </w:pPr>
      <w:r>
        <w:rPr>
          <w:rFonts w:eastAsia="仿宋"/>
          <w:b/>
          <w:bCs/>
          <w:kern w:val="0"/>
          <w:sz w:val="32"/>
          <w:szCs w:val="32"/>
          <w:lang w:eastAsia="zh-CN"/>
          <w14:ligatures w14:val="none"/>
        </w:rPr>
        <w:t>详细履行方案</w:t>
      </w:r>
      <w:r>
        <w:rPr>
          <w:rFonts w:eastAsia="仿宋"/>
          <w:kern w:val="0"/>
          <w:sz w:val="32"/>
          <w:szCs w:val="32"/>
          <w:lang w:eastAsia="zh-CN"/>
          <w14:ligatures w14:val="none"/>
        </w:rPr>
        <w:t>：指交易双方为履行市场监管总局对本交易附加的限制性条件而提交的详细履行方案。</w:t>
      </w:r>
    </w:p>
    <w:p>
      <w:pPr>
        <w:keepNext/>
        <w:spacing w:before="360" w:after="240" w:line="264" w:lineRule="auto"/>
        <w:jc w:val="center"/>
        <w:outlineLvl w:val="0"/>
        <w:rPr>
          <w:rFonts w:eastAsia="仿宋"/>
          <w:b/>
          <w:bCs/>
          <w:caps/>
          <w:kern w:val="0"/>
          <w:sz w:val="32"/>
          <w:szCs w:val="32"/>
          <w:lang w:eastAsia="zh-CN"/>
          <w14:ligatures w14:val="none"/>
        </w:rPr>
      </w:pPr>
      <w:r>
        <w:rPr>
          <w:rFonts w:eastAsia="仿宋"/>
          <w:b/>
          <w:bCs/>
          <w:sz w:val="32"/>
          <w:szCs w:val="32"/>
          <w:lang w:eastAsia="zh-CN"/>
        </w:rPr>
        <w:t>第二部分 限制性条件</w:t>
      </w:r>
    </w:p>
    <w:p>
      <w:pPr>
        <w:pStyle w:val="95"/>
        <w:numPr>
          <w:ilvl w:val="0"/>
          <w:numId w:val="2"/>
        </w:numPr>
        <w:autoSpaceDE w:val="0"/>
        <w:autoSpaceDN w:val="0"/>
        <w:adjustRightInd w:val="0"/>
        <w:spacing w:line="360" w:lineRule="auto"/>
        <w:ind w:left="0" w:firstLine="640"/>
        <w:jc w:val="both"/>
        <w:rPr>
          <w:rFonts w:eastAsia="仿宋"/>
          <w:kern w:val="0"/>
          <w:sz w:val="32"/>
          <w:szCs w:val="32"/>
          <w:lang w:eastAsia="zh-CN"/>
          <w14:ligatures w14:val="none"/>
        </w:rPr>
      </w:pPr>
      <w:r>
        <w:rPr>
          <w:rFonts w:eastAsia="仿宋"/>
          <w:kern w:val="0"/>
          <w:sz w:val="32"/>
          <w:szCs w:val="32"/>
          <w:lang w:eastAsia="zh-CN"/>
          <w14:ligatures w14:val="none"/>
        </w:rPr>
        <w:t>交易双方和集中后实体应继续履行</w:t>
      </w:r>
      <w:r>
        <w:rPr>
          <w:rFonts w:hint="eastAsia" w:eastAsia="仿宋"/>
          <w:kern w:val="0"/>
          <w:sz w:val="32"/>
          <w:szCs w:val="32"/>
          <w:lang w:eastAsia="zh-CN"/>
          <w14:ligatures w14:val="none"/>
        </w:rPr>
        <w:t>截至生效日</w:t>
      </w:r>
      <w:r>
        <w:rPr>
          <w:rFonts w:eastAsia="仿宋"/>
          <w:kern w:val="0"/>
          <w:sz w:val="32"/>
          <w:szCs w:val="32"/>
          <w:lang w:eastAsia="zh-CN"/>
          <w14:ligatures w14:val="none"/>
        </w:rPr>
        <w:t xml:space="preserve">与航空公司签订的中国=日本航线定期航班在东京成田国际机场和关西国际机场关于货物地面服务的现有协议。 </w:t>
      </w:r>
    </w:p>
    <w:p>
      <w:pPr>
        <w:pStyle w:val="95"/>
        <w:numPr>
          <w:ilvl w:val="0"/>
          <w:numId w:val="2"/>
        </w:numPr>
        <w:autoSpaceDE w:val="0"/>
        <w:autoSpaceDN w:val="0"/>
        <w:adjustRightInd w:val="0"/>
        <w:spacing w:line="360" w:lineRule="auto"/>
        <w:ind w:left="0" w:firstLine="640"/>
        <w:jc w:val="both"/>
        <w:rPr>
          <w:rFonts w:eastAsia="仿宋"/>
          <w:kern w:val="0"/>
          <w:sz w:val="32"/>
          <w:szCs w:val="32"/>
          <w:lang w:eastAsia="zh-CN"/>
          <w14:ligatures w14:val="none"/>
        </w:rPr>
      </w:pPr>
      <w:r>
        <w:rPr>
          <w:rFonts w:eastAsia="仿宋"/>
          <w:kern w:val="0"/>
          <w:sz w:val="32"/>
          <w:szCs w:val="32"/>
          <w:lang w:eastAsia="zh-CN"/>
          <w14:ligatures w14:val="none"/>
        </w:rPr>
        <w:t>无正当理由，交易双方和集中后实体不得拒绝航空公司提出的基于</w:t>
      </w:r>
      <w:r>
        <w:rPr>
          <w:rFonts w:hint="eastAsia" w:eastAsia="仿宋"/>
          <w:kern w:val="0"/>
          <w:sz w:val="32"/>
          <w:szCs w:val="32"/>
          <w:lang w:eastAsia="zh-CN"/>
          <w14:ligatures w14:val="none"/>
        </w:rPr>
        <w:t>其要求</w:t>
      </w:r>
      <w:r>
        <w:rPr>
          <w:rFonts w:eastAsia="仿宋"/>
          <w:kern w:val="0"/>
          <w:sz w:val="32"/>
          <w:szCs w:val="32"/>
          <w:lang w:eastAsia="zh-CN"/>
          <w14:ligatures w14:val="none"/>
        </w:rPr>
        <w:t>续签</w:t>
      </w:r>
      <w:r>
        <w:rPr>
          <w:rFonts w:hint="eastAsia" w:eastAsia="仿宋"/>
          <w:kern w:val="0"/>
          <w:sz w:val="32"/>
          <w:szCs w:val="32"/>
          <w:lang w:eastAsia="zh-CN"/>
          <w14:ligatures w14:val="none"/>
        </w:rPr>
        <w:t>时</w:t>
      </w:r>
      <w:r>
        <w:rPr>
          <w:rFonts w:eastAsia="仿宋"/>
          <w:kern w:val="0"/>
          <w:sz w:val="32"/>
          <w:szCs w:val="32"/>
          <w:lang w:eastAsia="zh-CN"/>
          <w14:ligatures w14:val="none"/>
        </w:rPr>
        <w:t>现行</w:t>
      </w:r>
      <w:r>
        <w:rPr>
          <w:rFonts w:hint="eastAsia" w:eastAsia="仿宋"/>
          <w:kern w:val="0"/>
          <w:sz w:val="32"/>
          <w:szCs w:val="32"/>
          <w:lang w:eastAsia="zh-CN"/>
          <w14:ligatures w14:val="none"/>
        </w:rPr>
        <w:t>的</w:t>
      </w:r>
      <w:r>
        <w:rPr>
          <w:rFonts w:eastAsia="仿宋"/>
          <w:kern w:val="0"/>
          <w:sz w:val="32"/>
          <w:szCs w:val="32"/>
          <w:lang w:eastAsia="zh-CN"/>
          <w14:ligatures w14:val="none"/>
        </w:rPr>
        <w:t>市场条款和条件续签中国=日本航线定期航班在东京成田国际机场和关西国际机场关于货物地面服务现有协议的要求。</w:t>
      </w:r>
    </w:p>
    <w:p>
      <w:pPr>
        <w:pStyle w:val="95"/>
        <w:autoSpaceDE w:val="0"/>
        <w:autoSpaceDN w:val="0"/>
        <w:adjustRightInd w:val="0"/>
        <w:spacing w:line="360" w:lineRule="auto"/>
        <w:ind w:left="640" w:firstLine="0" w:firstLineChars="0"/>
        <w:jc w:val="both"/>
        <w:rPr>
          <w:rFonts w:eastAsia="仿宋"/>
          <w:kern w:val="0"/>
          <w:sz w:val="32"/>
          <w:szCs w:val="32"/>
          <w:lang w:eastAsia="zh-CN"/>
          <w14:ligatures w14:val="none"/>
        </w:rPr>
      </w:pPr>
      <w:r>
        <w:rPr>
          <w:rFonts w:eastAsia="仿宋"/>
          <w:kern w:val="0"/>
          <w:sz w:val="32"/>
          <w:szCs w:val="32"/>
          <w:lang w:eastAsia="zh-CN"/>
          <w14:ligatures w14:val="none"/>
        </w:rPr>
        <w:t>为</w:t>
      </w:r>
      <w:r>
        <w:rPr>
          <w:rFonts w:hint="eastAsia" w:eastAsia="仿宋"/>
          <w:kern w:val="0"/>
          <w:sz w:val="32"/>
          <w:szCs w:val="32"/>
          <w:lang w:eastAsia="zh-CN"/>
          <w14:ligatures w14:val="none"/>
        </w:rPr>
        <w:t>本条限制性条件</w:t>
      </w:r>
      <w:r>
        <w:rPr>
          <w:rFonts w:eastAsia="仿宋"/>
          <w:kern w:val="0"/>
          <w:sz w:val="32"/>
          <w:szCs w:val="32"/>
          <w:lang w:eastAsia="zh-CN"/>
          <w14:ligatures w14:val="none"/>
        </w:rPr>
        <w:t>之目的，</w:t>
      </w:r>
      <w:r>
        <w:rPr>
          <w:rFonts w:hint="eastAsia" w:eastAsia="仿宋"/>
          <w:kern w:val="0"/>
          <w:sz w:val="32"/>
          <w:szCs w:val="32"/>
          <w:lang w:eastAsia="zh-CN"/>
          <w14:ligatures w14:val="none"/>
        </w:rPr>
        <w:t>正当理由包括：</w:t>
      </w:r>
    </w:p>
    <w:p>
      <w:pPr>
        <w:pStyle w:val="95"/>
        <w:numPr>
          <w:ilvl w:val="0"/>
          <w:numId w:val="3"/>
        </w:numPr>
        <w:autoSpaceDE w:val="0"/>
        <w:autoSpaceDN w:val="0"/>
        <w:adjustRightInd w:val="0"/>
        <w:spacing w:line="360" w:lineRule="auto"/>
        <w:ind w:firstLineChars="0"/>
        <w:jc w:val="both"/>
        <w:rPr>
          <w:rFonts w:eastAsia="仿宋"/>
          <w:kern w:val="0"/>
          <w:sz w:val="32"/>
          <w:szCs w:val="32"/>
          <w:lang w:eastAsia="zh-CN"/>
          <w14:ligatures w14:val="none"/>
        </w:rPr>
      </w:pPr>
      <w:r>
        <w:rPr>
          <w:rFonts w:hint="eastAsia" w:eastAsia="仿宋"/>
          <w:kern w:val="0"/>
          <w:sz w:val="32"/>
          <w:szCs w:val="32"/>
          <w:lang w:eastAsia="zh-CN"/>
          <w14:ligatures w14:val="none"/>
        </w:rPr>
        <w:t>航空公司所提</w:t>
      </w:r>
      <w:r>
        <w:rPr>
          <w:rFonts w:eastAsia="仿宋"/>
          <w:kern w:val="0"/>
          <w:sz w:val="32"/>
          <w:szCs w:val="32"/>
          <w:lang w:eastAsia="zh-CN"/>
          <w14:ligatures w14:val="none"/>
        </w:rPr>
        <w:t>条款和条件</w:t>
      </w:r>
      <w:r>
        <w:rPr>
          <w:rFonts w:hint="eastAsia" w:eastAsia="仿宋"/>
          <w:kern w:val="0"/>
          <w:sz w:val="32"/>
          <w:szCs w:val="32"/>
          <w:lang w:eastAsia="zh-CN"/>
          <w14:ligatures w14:val="none"/>
        </w:rPr>
        <w:t>不符合届时通行的市场条款和条件；</w:t>
      </w:r>
    </w:p>
    <w:p>
      <w:pPr>
        <w:pStyle w:val="95"/>
        <w:numPr>
          <w:ilvl w:val="0"/>
          <w:numId w:val="3"/>
        </w:numPr>
        <w:autoSpaceDE w:val="0"/>
        <w:autoSpaceDN w:val="0"/>
        <w:adjustRightInd w:val="0"/>
        <w:spacing w:line="360" w:lineRule="auto"/>
        <w:ind w:firstLineChars="0"/>
        <w:jc w:val="both"/>
        <w:rPr>
          <w:rFonts w:eastAsia="仿宋"/>
          <w:kern w:val="0"/>
          <w:sz w:val="32"/>
          <w:szCs w:val="32"/>
          <w:lang w:eastAsia="zh-CN"/>
          <w14:ligatures w14:val="none"/>
        </w:rPr>
      </w:pPr>
      <w:r>
        <w:rPr>
          <w:rFonts w:hint="eastAsia" w:eastAsia="仿宋"/>
          <w:kern w:val="0"/>
          <w:sz w:val="32"/>
          <w:szCs w:val="32"/>
          <w:lang w:eastAsia="zh-CN"/>
          <w14:ligatures w14:val="none"/>
        </w:rPr>
        <w:t>航空公司有不良信用记录，或者出现经营状况恶化或其他可能影响协议商业合理性的不利情况；</w:t>
      </w:r>
    </w:p>
    <w:p>
      <w:pPr>
        <w:pStyle w:val="95"/>
        <w:numPr>
          <w:ilvl w:val="0"/>
          <w:numId w:val="3"/>
        </w:numPr>
        <w:autoSpaceDE w:val="0"/>
        <w:autoSpaceDN w:val="0"/>
        <w:adjustRightInd w:val="0"/>
        <w:spacing w:line="360" w:lineRule="auto"/>
        <w:ind w:firstLineChars="0"/>
        <w:jc w:val="both"/>
        <w:rPr>
          <w:rFonts w:eastAsia="仿宋"/>
          <w:kern w:val="0"/>
          <w:sz w:val="32"/>
          <w:szCs w:val="32"/>
          <w:lang w:eastAsia="zh-CN"/>
          <w14:ligatures w14:val="none"/>
        </w:rPr>
      </w:pPr>
      <w:r>
        <w:rPr>
          <w:rFonts w:hint="eastAsia" w:eastAsia="仿宋"/>
          <w:kern w:val="0"/>
          <w:sz w:val="32"/>
          <w:szCs w:val="32"/>
          <w:lang w:eastAsia="zh-CN"/>
          <w14:ligatures w14:val="none"/>
        </w:rPr>
        <w:t>因不可抗力事件导致协议无法续签；</w:t>
      </w:r>
    </w:p>
    <w:p>
      <w:pPr>
        <w:pStyle w:val="95"/>
        <w:numPr>
          <w:ilvl w:val="0"/>
          <w:numId w:val="3"/>
        </w:numPr>
        <w:autoSpaceDE w:val="0"/>
        <w:autoSpaceDN w:val="0"/>
        <w:adjustRightInd w:val="0"/>
        <w:spacing w:line="360" w:lineRule="auto"/>
        <w:ind w:firstLineChars="0"/>
        <w:jc w:val="both"/>
        <w:rPr>
          <w:rFonts w:eastAsia="仿宋"/>
          <w:kern w:val="0"/>
          <w:sz w:val="32"/>
          <w:szCs w:val="32"/>
          <w:lang w:eastAsia="zh-CN"/>
          <w14:ligatures w14:val="none"/>
        </w:rPr>
      </w:pPr>
      <w:r>
        <w:rPr>
          <w:rFonts w:hint="eastAsia" w:eastAsia="仿宋"/>
          <w:kern w:val="0"/>
          <w:sz w:val="32"/>
          <w:szCs w:val="32"/>
          <w:lang w:eastAsia="zh-CN"/>
          <w14:ligatures w14:val="none"/>
        </w:rPr>
        <w:t>《中华人民共和国反垄断法》及相关法规规定的其他正当理由。</w:t>
      </w:r>
    </w:p>
    <w:p>
      <w:pPr>
        <w:pStyle w:val="95"/>
        <w:numPr>
          <w:ilvl w:val="0"/>
          <w:numId w:val="2"/>
        </w:numPr>
        <w:autoSpaceDE w:val="0"/>
        <w:autoSpaceDN w:val="0"/>
        <w:adjustRightInd w:val="0"/>
        <w:spacing w:line="360" w:lineRule="auto"/>
        <w:ind w:left="0" w:firstLine="640"/>
        <w:jc w:val="both"/>
        <w:rPr>
          <w:rFonts w:eastAsia="仿宋"/>
          <w:kern w:val="0"/>
          <w:sz w:val="32"/>
          <w:szCs w:val="32"/>
          <w:lang w:eastAsia="zh-CN"/>
          <w14:ligatures w14:val="none"/>
        </w:rPr>
      </w:pPr>
      <w:r>
        <w:rPr>
          <w:rFonts w:eastAsia="仿宋"/>
          <w:kern w:val="0"/>
          <w:sz w:val="32"/>
          <w:szCs w:val="32"/>
          <w:lang w:eastAsia="zh-CN"/>
          <w14:ligatures w14:val="none"/>
        </w:rPr>
        <w:t>应新进入者的请求，交易双方和集中后实体应在东京成田国际机场和关西国际机场为其中国=日本航线的定期航班以</w:t>
      </w:r>
      <w:r>
        <w:rPr>
          <w:rFonts w:hint="eastAsia" w:eastAsia="仿宋"/>
          <w:kern w:val="0"/>
          <w:sz w:val="32"/>
          <w:szCs w:val="32"/>
          <w:lang w:eastAsia="zh-CN"/>
          <w14:ligatures w14:val="none"/>
        </w:rPr>
        <w:t>在新进入者提出该要求时适用的</w:t>
      </w:r>
      <w:r>
        <w:rPr>
          <w:rFonts w:eastAsia="仿宋"/>
          <w:kern w:val="0"/>
          <w:sz w:val="32"/>
          <w:szCs w:val="32"/>
          <w:lang w:eastAsia="zh-CN"/>
          <w14:ligatures w14:val="none"/>
        </w:rPr>
        <w:t>现行协议一致的条款和条件提供货物地面服务。</w:t>
      </w:r>
    </w:p>
    <w:p>
      <w:pPr>
        <w:pStyle w:val="95"/>
        <w:numPr>
          <w:ilvl w:val="0"/>
          <w:numId w:val="2"/>
        </w:numPr>
        <w:autoSpaceDE w:val="0"/>
        <w:autoSpaceDN w:val="0"/>
        <w:adjustRightInd w:val="0"/>
        <w:spacing w:line="360" w:lineRule="auto"/>
        <w:ind w:left="0" w:firstLine="640"/>
        <w:jc w:val="both"/>
        <w:rPr>
          <w:rFonts w:eastAsia="仿宋"/>
          <w:kern w:val="0"/>
          <w:sz w:val="32"/>
          <w:szCs w:val="32"/>
          <w:lang w:eastAsia="zh-CN"/>
          <w14:ligatures w14:val="none"/>
        </w:rPr>
      </w:pPr>
      <w:r>
        <w:rPr>
          <w:rFonts w:eastAsia="仿宋"/>
          <w:kern w:val="0"/>
          <w:sz w:val="32"/>
          <w:szCs w:val="32"/>
          <w:lang w:eastAsia="zh-CN"/>
          <w14:ligatures w14:val="none"/>
        </w:rPr>
        <w:t>在条件有效期内，在满足以下条件时，交易双方或集中后实体应</w:t>
      </w:r>
      <w:r>
        <w:rPr>
          <w:rFonts w:hint="eastAsia" w:eastAsia="仿宋"/>
          <w:kern w:val="0"/>
          <w:sz w:val="32"/>
          <w:szCs w:val="32"/>
          <w:lang w:eastAsia="zh-CN"/>
          <w14:ligatures w14:val="none"/>
        </w:rPr>
        <w:t>将</w:t>
      </w:r>
      <w:r>
        <w:rPr>
          <w:rFonts w:eastAsia="仿宋"/>
          <w:kern w:val="0"/>
          <w:sz w:val="32"/>
          <w:szCs w:val="32"/>
          <w:lang w:eastAsia="zh-CN"/>
          <w14:ligatures w14:val="none"/>
        </w:rPr>
        <w:t>全日空在航班时刻</w:t>
      </w:r>
      <w:r>
        <w:rPr>
          <w:rFonts w:hint="eastAsia" w:eastAsia="仿宋"/>
          <w:kern w:val="0"/>
          <w:sz w:val="32"/>
          <w:szCs w:val="32"/>
          <w:lang w:eastAsia="zh-CN"/>
          <w14:ligatures w14:val="none"/>
        </w:rPr>
        <w:t>转让</w:t>
      </w:r>
      <w:r>
        <w:rPr>
          <w:rFonts w:eastAsia="仿宋"/>
          <w:kern w:val="0"/>
          <w:sz w:val="32"/>
          <w:szCs w:val="32"/>
          <w:lang w:eastAsia="zh-CN"/>
          <w14:ligatures w14:val="none"/>
        </w:rPr>
        <w:t>航线上所持有的用于运营全货机的</w:t>
      </w:r>
      <w:r>
        <w:rPr>
          <w:rFonts w:hint="eastAsia" w:eastAsia="仿宋"/>
          <w:kern w:val="0"/>
          <w:sz w:val="32"/>
          <w:szCs w:val="32"/>
          <w:lang w:eastAsia="zh-CN"/>
          <w14:ligatures w14:val="none"/>
        </w:rPr>
        <w:t>历史</w:t>
      </w:r>
      <w:r>
        <w:rPr>
          <w:rFonts w:eastAsia="仿宋"/>
          <w:kern w:val="0"/>
          <w:sz w:val="32"/>
          <w:szCs w:val="32"/>
          <w:lang w:eastAsia="zh-CN"/>
          <w14:ligatures w14:val="none"/>
        </w:rPr>
        <w:t>航班时刻</w:t>
      </w:r>
      <w:r>
        <w:rPr>
          <w:rFonts w:hint="eastAsia" w:eastAsia="仿宋"/>
          <w:kern w:val="0"/>
          <w:sz w:val="32"/>
          <w:szCs w:val="32"/>
          <w:lang w:eastAsia="zh-CN"/>
          <w14:ligatures w14:val="none"/>
        </w:rPr>
        <w:t>转让给根据下</w:t>
      </w:r>
      <w:r>
        <w:rPr>
          <w:rFonts w:eastAsia="仿宋"/>
          <w:kern w:val="0"/>
          <w:sz w:val="32"/>
          <w:szCs w:val="32"/>
          <w:lang w:eastAsia="zh-CN"/>
          <w14:ligatures w14:val="none"/>
        </w:rPr>
        <w:t>述限制性条件第</w:t>
      </w:r>
      <w:r>
        <w:rPr>
          <w:rFonts w:hint="eastAsia" w:eastAsia="仿宋"/>
          <w:kern w:val="0"/>
          <w:sz w:val="32"/>
          <w:szCs w:val="32"/>
          <w:lang w:eastAsia="zh-CN"/>
          <w14:ligatures w14:val="none"/>
        </w:rPr>
        <w:t>5条找到的首个</w:t>
      </w:r>
      <w:r>
        <w:rPr>
          <w:rFonts w:eastAsia="仿宋"/>
          <w:kern w:val="0"/>
          <w:sz w:val="32"/>
          <w:szCs w:val="32"/>
          <w:lang w:eastAsia="zh-CN"/>
          <w14:ligatures w14:val="none"/>
        </w:rPr>
        <w:t>新进入者，最大可用航班时刻总量为每周7对航班时刻（每日的最大可用航班时刻量为1对航班时刻）：</w:t>
      </w:r>
    </w:p>
    <w:p>
      <w:pPr>
        <w:pStyle w:val="95"/>
        <w:numPr>
          <w:ilvl w:val="2"/>
          <w:numId w:val="4"/>
        </w:numPr>
        <w:autoSpaceDE w:val="0"/>
        <w:autoSpaceDN w:val="0"/>
        <w:adjustRightInd w:val="0"/>
        <w:spacing w:line="360" w:lineRule="auto"/>
        <w:ind w:firstLineChars="0"/>
        <w:jc w:val="both"/>
        <w:rPr>
          <w:rFonts w:eastAsia="仿宋"/>
          <w:kern w:val="0"/>
          <w:sz w:val="32"/>
          <w:szCs w:val="32"/>
          <w:lang w:eastAsia="zh-CN"/>
          <w14:ligatures w14:val="none"/>
        </w:rPr>
      </w:pPr>
      <w:r>
        <w:rPr>
          <w:rFonts w:eastAsia="仿宋"/>
          <w:kern w:val="0"/>
          <w:sz w:val="32"/>
          <w:szCs w:val="32"/>
          <w:lang w:eastAsia="zh-CN"/>
          <w14:ligatures w14:val="none"/>
        </w:rPr>
        <w:t>新进入者在上海浦东国际机场和/或东京成田国际机场不持有其拟开始运营中国=日本航线所需的特定时刻</w:t>
      </w:r>
      <w:bookmarkStart w:id="1" w:name="3znysh7" w:colFirst="0" w:colLast="0"/>
      <w:bookmarkEnd w:id="1"/>
      <w:bookmarkStart w:id="2" w:name="2et92p0" w:colFirst="0" w:colLast="0"/>
      <w:bookmarkEnd w:id="2"/>
      <w:r>
        <w:rPr>
          <w:rFonts w:eastAsia="仿宋"/>
          <w:kern w:val="0"/>
          <w:sz w:val="32"/>
          <w:szCs w:val="32"/>
          <w:lang w:eastAsia="zh-CN"/>
          <w14:ligatures w14:val="none"/>
        </w:rPr>
        <w:t>（</w:t>
      </w:r>
      <w:r>
        <w:rPr>
          <w:rFonts w:hint="eastAsia" w:ascii="仿宋" w:hAnsi="仿宋" w:eastAsia="仿宋"/>
          <w:kern w:val="0"/>
          <w:sz w:val="32"/>
          <w:szCs w:val="32"/>
          <w:lang w:eastAsia="zh-CN"/>
          <w14:ligatures w14:val="none"/>
        </w:rPr>
        <w:t>以下简称</w:t>
      </w:r>
      <w:r>
        <w:rPr>
          <w:rFonts w:hint="eastAsia" w:eastAsia="仿宋"/>
          <w:b/>
          <w:bCs/>
          <w:kern w:val="0"/>
          <w:sz w:val="32"/>
          <w:szCs w:val="32"/>
          <w:lang w:eastAsia="zh-CN"/>
          <w14:ligatures w14:val="none"/>
        </w:rPr>
        <w:t>期望的航班时刻</w:t>
      </w:r>
      <w:r>
        <w:rPr>
          <w:rFonts w:eastAsia="仿宋"/>
          <w:kern w:val="0"/>
          <w:sz w:val="32"/>
          <w:szCs w:val="32"/>
          <w:lang w:eastAsia="zh-CN"/>
          <w14:ligatures w14:val="none"/>
        </w:rPr>
        <w:t>）前后30分钟内的航班时刻。</w:t>
      </w:r>
    </w:p>
    <w:p>
      <w:pPr>
        <w:pStyle w:val="95"/>
        <w:numPr>
          <w:ilvl w:val="2"/>
          <w:numId w:val="4"/>
        </w:numPr>
        <w:autoSpaceDE w:val="0"/>
        <w:autoSpaceDN w:val="0"/>
        <w:adjustRightInd w:val="0"/>
        <w:spacing w:line="360" w:lineRule="auto"/>
        <w:ind w:firstLineChars="0"/>
        <w:jc w:val="both"/>
        <w:rPr>
          <w:rFonts w:eastAsia="仿宋"/>
          <w:kern w:val="0"/>
          <w:sz w:val="32"/>
          <w:szCs w:val="32"/>
          <w:lang w:eastAsia="zh-CN"/>
          <w14:ligatures w14:val="none"/>
        </w:rPr>
      </w:pPr>
      <w:r>
        <w:rPr>
          <w:rFonts w:eastAsia="仿宋"/>
          <w:kern w:val="0"/>
          <w:sz w:val="32"/>
          <w:szCs w:val="32"/>
          <w:lang w:eastAsia="zh-CN"/>
          <w14:ligatures w14:val="none"/>
        </w:rPr>
        <w:t>该新进入者已根据《国际航空运输协会世界航班时刻准则》中的协调活动日程表，在每个国际航空运输协会航季开始前，通过正常的航班时刻协调流程申请了期望的航班时刻，但最终未能获得期望的航班时刻前后30分钟内的航班时刻。</w:t>
      </w:r>
    </w:p>
    <w:p>
      <w:pPr>
        <w:pStyle w:val="95"/>
        <w:numPr>
          <w:ilvl w:val="2"/>
          <w:numId w:val="4"/>
        </w:numPr>
        <w:autoSpaceDE w:val="0"/>
        <w:autoSpaceDN w:val="0"/>
        <w:adjustRightInd w:val="0"/>
        <w:spacing w:line="360" w:lineRule="auto"/>
        <w:ind w:firstLineChars="0"/>
        <w:jc w:val="both"/>
        <w:rPr>
          <w:rFonts w:eastAsia="仿宋"/>
          <w:kern w:val="0"/>
          <w:sz w:val="32"/>
          <w:szCs w:val="32"/>
          <w:lang w:eastAsia="zh-CN"/>
          <w14:ligatures w14:val="none"/>
        </w:rPr>
      </w:pPr>
      <w:r>
        <w:rPr>
          <w:rFonts w:eastAsia="仿宋"/>
          <w:kern w:val="0"/>
          <w:sz w:val="32"/>
          <w:szCs w:val="32"/>
          <w:lang w:eastAsia="zh-CN"/>
          <w14:ligatures w14:val="none"/>
        </w:rPr>
        <w:t>在航班时刻</w:t>
      </w:r>
      <w:r>
        <w:rPr>
          <w:rFonts w:hint="eastAsia" w:eastAsia="仿宋"/>
          <w:kern w:val="0"/>
          <w:sz w:val="32"/>
          <w:szCs w:val="32"/>
          <w:lang w:eastAsia="zh-CN"/>
          <w14:ligatures w14:val="none"/>
        </w:rPr>
        <w:t>转让</w:t>
      </w:r>
      <w:r>
        <w:rPr>
          <w:rFonts w:eastAsia="仿宋"/>
          <w:kern w:val="0"/>
          <w:sz w:val="32"/>
          <w:szCs w:val="32"/>
          <w:lang w:eastAsia="zh-CN"/>
          <w14:ligatures w14:val="none"/>
        </w:rPr>
        <w:t>航线上，全日空持有该新进入者期望的航班时刻前后30分钟内的用于运营全货机的航班时刻。</w:t>
      </w:r>
    </w:p>
    <w:p>
      <w:pPr>
        <w:pStyle w:val="95"/>
        <w:numPr>
          <w:ilvl w:val="0"/>
          <w:numId w:val="2"/>
        </w:numPr>
        <w:autoSpaceDE w:val="0"/>
        <w:autoSpaceDN w:val="0"/>
        <w:adjustRightInd w:val="0"/>
        <w:spacing w:line="360" w:lineRule="auto"/>
        <w:ind w:left="0" w:firstLine="640"/>
        <w:jc w:val="both"/>
        <w:rPr>
          <w:rFonts w:eastAsia="仿宋"/>
          <w:kern w:val="0"/>
          <w:sz w:val="32"/>
          <w:szCs w:val="32"/>
          <w:lang w:eastAsia="zh-CN"/>
          <w14:ligatures w14:val="none"/>
        </w:rPr>
      </w:pPr>
      <w:r>
        <w:rPr>
          <w:rFonts w:eastAsia="仿宋"/>
          <w:kern w:val="0"/>
          <w:sz w:val="32"/>
          <w:szCs w:val="32"/>
          <w:lang w:eastAsia="zh-CN"/>
          <w14:ligatures w14:val="none"/>
        </w:rPr>
        <w:t>交易双方或集中后实体</w:t>
      </w:r>
      <w:r>
        <w:rPr>
          <w:rFonts w:hint="eastAsia" w:eastAsia="仿宋"/>
          <w:kern w:val="0"/>
          <w:sz w:val="32"/>
          <w:szCs w:val="32"/>
          <w:lang w:eastAsia="zh-CN"/>
          <w14:ligatures w14:val="none"/>
        </w:rPr>
        <w:t xml:space="preserve">应在第一阶段内按照上述限制性条件第4条的规定找到新进入者并向该新进入者转让航班时刻。 </w:t>
      </w:r>
    </w:p>
    <w:p>
      <w:pPr>
        <w:autoSpaceDE w:val="0"/>
        <w:autoSpaceDN w:val="0"/>
        <w:adjustRightInd w:val="0"/>
        <w:spacing w:line="360" w:lineRule="auto"/>
        <w:ind w:firstLine="640" w:firstLineChars="200"/>
        <w:jc w:val="both"/>
        <w:rPr>
          <w:rFonts w:eastAsia="仿宋"/>
          <w:kern w:val="0"/>
          <w:sz w:val="32"/>
          <w:szCs w:val="32"/>
          <w:lang w:eastAsia="zh-CN"/>
          <w14:ligatures w14:val="none"/>
        </w:rPr>
      </w:pPr>
      <w:r>
        <w:rPr>
          <w:rFonts w:hint="eastAsia" w:eastAsia="仿宋"/>
          <w:kern w:val="0"/>
          <w:sz w:val="32"/>
          <w:szCs w:val="32"/>
          <w:lang w:eastAsia="zh-CN"/>
          <w14:ligatures w14:val="none"/>
        </w:rPr>
        <w:t>如交易双方或集中后实体在第一阶段内未能找到任何新进入者并向新进入者转让航班时刻，则交易双方或集中后实体应在第二阶段内向监督受托人指定的新进入者按照上述限制性条件第4条的规定转让航班时刻。</w:t>
      </w:r>
    </w:p>
    <w:p>
      <w:pPr>
        <w:autoSpaceDE w:val="0"/>
        <w:autoSpaceDN w:val="0"/>
        <w:adjustRightInd w:val="0"/>
        <w:spacing w:line="360" w:lineRule="auto"/>
        <w:ind w:firstLine="640" w:firstLineChars="200"/>
        <w:jc w:val="both"/>
        <w:rPr>
          <w:rFonts w:eastAsia="仿宋"/>
          <w:kern w:val="0"/>
          <w:sz w:val="32"/>
          <w:szCs w:val="32"/>
          <w:lang w:eastAsia="zh-CN"/>
          <w14:ligatures w14:val="none"/>
        </w:rPr>
      </w:pPr>
      <w:r>
        <w:rPr>
          <w:rFonts w:hint="eastAsia" w:eastAsia="仿宋"/>
          <w:kern w:val="0"/>
          <w:sz w:val="32"/>
          <w:szCs w:val="32"/>
          <w:lang w:eastAsia="zh-CN"/>
          <w14:ligatures w14:val="none"/>
        </w:rPr>
        <w:t>日本航班时刻协调人接受上述航班时刻转让时，即视为交易双方或集中后实体完成了航班时刻的转让。</w:t>
      </w:r>
    </w:p>
    <w:p>
      <w:pPr>
        <w:keepNext/>
        <w:spacing w:before="360" w:after="240" w:line="264" w:lineRule="auto"/>
        <w:jc w:val="center"/>
        <w:outlineLvl w:val="0"/>
        <w:rPr>
          <w:rFonts w:eastAsia="仿宋"/>
          <w:b/>
          <w:bCs/>
          <w:caps/>
          <w:kern w:val="0"/>
          <w:sz w:val="32"/>
          <w:szCs w:val="32"/>
          <w:lang w:eastAsia="zh-CN"/>
          <w14:ligatures w14:val="none"/>
        </w:rPr>
      </w:pPr>
      <w:r>
        <w:rPr>
          <w:rFonts w:eastAsia="仿宋"/>
          <w:b/>
          <w:bCs/>
          <w:sz w:val="32"/>
          <w:szCs w:val="32"/>
          <w:lang w:eastAsia="zh-CN"/>
        </w:rPr>
        <w:t>第三部分 限制性条件的实施</w:t>
      </w:r>
    </w:p>
    <w:p>
      <w:pPr>
        <w:pStyle w:val="95"/>
        <w:numPr>
          <w:ilvl w:val="0"/>
          <w:numId w:val="5"/>
        </w:numPr>
        <w:autoSpaceDE w:val="0"/>
        <w:autoSpaceDN w:val="0"/>
        <w:adjustRightInd w:val="0"/>
        <w:spacing w:line="360" w:lineRule="auto"/>
        <w:ind w:left="0" w:firstLine="640"/>
        <w:jc w:val="both"/>
        <w:rPr>
          <w:rFonts w:eastAsia="仿宋"/>
          <w:kern w:val="0"/>
          <w:sz w:val="32"/>
          <w:szCs w:val="32"/>
          <w:lang w:eastAsia="zh-CN"/>
          <w14:ligatures w14:val="none"/>
        </w:rPr>
      </w:pPr>
      <w:r>
        <w:rPr>
          <w:rFonts w:eastAsia="仿宋"/>
          <w:kern w:val="0"/>
          <w:sz w:val="32"/>
          <w:szCs w:val="32"/>
          <w:lang w:eastAsia="zh-CN"/>
          <w14:ligatures w14:val="none"/>
        </w:rPr>
        <w:t>上述限制性条件的实施应以市场监管总局的《决定》以及全日空向市场监管总局提交的最终承诺方案为依据，其对交易双方和集中后实体具有约束力。</w:t>
      </w:r>
    </w:p>
    <w:p>
      <w:pPr>
        <w:pStyle w:val="95"/>
        <w:numPr>
          <w:ilvl w:val="0"/>
          <w:numId w:val="5"/>
        </w:numPr>
        <w:autoSpaceDE w:val="0"/>
        <w:autoSpaceDN w:val="0"/>
        <w:adjustRightInd w:val="0"/>
        <w:spacing w:line="360" w:lineRule="auto"/>
        <w:ind w:left="0" w:firstLine="640"/>
        <w:jc w:val="both"/>
        <w:rPr>
          <w:rFonts w:eastAsia="仿宋"/>
          <w:kern w:val="0"/>
          <w:sz w:val="32"/>
          <w:szCs w:val="32"/>
          <w:lang w:eastAsia="zh-CN"/>
          <w14:ligatures w14:val="none"/>
        </w:rPr>
      </w:pPr>
      <w:r>
        <w:rPr>
          <w:rFonts w:eastAsia="仿宋"/>
          <w:kern w:val="0"/>
          <w:sz w:val="32"/>
          <w:szCs w:val="32"/>
          <w:lang w:eastAsia="zh-CN"/>
          <w14:ligatures w14:val="none"/>
        </w:rPr>
        <w:t>自生效日起，交易双方和集中后实体应在有效期内每年报告其限制性条件的履行情况，且应在每个生效日周年之日起四十五（45）天内提交报告。</w:t>
      </w:r>
    </w:p>
    <w:p>
      <w:pPr>
        <w:pStyle w:val="95"/>
        <w:numPr>
          <w:ilvl w:val="0"/>
          <w:numId w:val="5"/>
        </w:numPr>
        <w:autoSpaceDE w:val="0"/>
        <w:autoSpaceDN w:val="0"/>
        <w:adjustRightInd w:val="0"/>
        <w:spacing w:line="360" w:lineRule="auto"/>
        <w:ind w:left="0" w:firstLine="640"/>
        <w:jc w:val="both"/>
        <w:rPr>
          <w:rFonts w:eastAsia="仿宋"/>
          <w:kern w:val="0"/>
          <w:sz w:val="32"/>
          <w:szCs w:val="32"/>
          <w:lang w:eastAsia="zh-CN"/>
          <w14:ligatures w14:val="none"/>
        </w:rPr>
      </w:pPr>
      <w:r>
        <w:rPr>
          <w:rFonts w:eastAsia="仿宋"/>
          <w:kern w:val="0"/>
          <w:sz w:val="32"/>
          <w:szCs w:val="32"/>
          <w:lang w:eastAsia="zh-CN"/>
          <w14:ligatures w14:val="none"/>
        </w:rPr>
        <w:t>市场监管总局有权</w:t>
      </w:r>
      <w:r>
        <w:rPr>
          <w:rFonts w:eastAsia="仿宋"/>
          <w:kern w:val="0"/>
          <w:sz w:val="32"/>
          <w:szCs w:val="32"/>
          <w:lang w:eastAsia="zh-CN"/>
        </w:rPr>
        <w:t>自行或通过监督受托人监督检查</w:t>
      </w:r>
      <w:r>
        <w:rPr>
          <w:rFonts w:eastAsia="仿宋"/>
          <w:kern w:val="0"/>
          <w:sz w:val="32"/>
          <w:szCs w:val="32"/>
          <w:lang w:eastAsia="zh-CN"/>
          <w14:ligatures w14:val="none"/>
        </w:rPr>
        <w:t>交易双方和集中后实体遵守和履行上述限制性条件的情况。</w:t>
      </w:r>
    </w:p>
    <w:p>
      <w:pPr>
        <w:pStyle w:val="95"/>
        <w:numPr>
          <w:ilvl w:val="0"/>
          <w:numId w:val="5"/>
        </w:numPr>
        <w:autoSpaceDE w:val="0"/>
        <w:autoSpaceDN w:val="0"/>
        <w:adjustRightInd w:val="0"/>
        <w:spacing w:line="360" w:lineRule="auto"/>
        <w:ind w:left="0" w:firstLine="640"/>
        <w:jc w:val="both"/>
        <w:rPr>
          <w:rFonts w:eastAsia="仿宋"/>
          <w:kern w:val="0"/>
          <w:sz w:val="32"/>
          <w:szCs w:val="32"/>
          <w:lang w:eastAsia="zh-CN"/>
          <w14:ligatures w14:val="none"/>
        </w:rPr>
      </w:pPr>
      <w:r>
        <w:rPr>
          <w:rFonts w:eastAsia="仿宋"/>
          <w:kern w:val="0"/>
          <w:sz w:val="32"/>
          <w:szCs w:val="32"/>
          <w:lang w:eastAsia="zh-CN"/>
          <w14:ligatures w14:val="none"/>
        </w:rPr>
        <w:t>为履行本承诺方案中的限制性条件，交易双方和集中后实体应在生效日后向市场监管总局提交详细履行方案供其审查和批准。</w:t>
      </w:r>
    </w:p>
    <w:p>
      <w:pPr>
        <w:keepNext/>
        <w:spacing w:before="360" w:after="240" w:line="264" w:lineRule="auto"/>
        <w:jc w:val="center"/>
        <w:outlineLvl w:val="0"/>
        <w:rPr>
          <w:rFonts w:eastAsia="仿宋"/>
          <w:b/>
          <w:bCs/>
          <w:i/>
          <w:caps/>
          <w:kern w:val="0"/>
          <w:sz w:val="32"/>
          <w:szCs w:val="32"/>
          <w:lang w:eastAsia="zh-CN"/>
          <w14:ligatures w14:val="none"/>
        </w:rPr>
      </w:pPr>
      <w:r>
        <w:rPr>
          <w:rFonts w:eastAsia="仿宋"/>
          <w:b/>
          <w:bCs/>
          <w:sz w:val="32"/>
          <w:szCs w:val="32"/>
          <w:lang w:eastAsia="zh-CN"/>
        </w:rPr>
        <w:t>第四部分 限制性条件有效期</w:t>
      </w:r>
    </w:p>
    <w:p>
      <w:pPr>
        <w:widowControl w:val="0"/>
        <w:spacing w:after="120" w:line="360" w:lineRule="auto"/>
        <w:ind w:firstLine="640" w:firstLineChars="200"/>
        <w:jc w:val="both"/>
        <w:rPr>
          <w:rFonts w:eastAsia="仿宋"/>
          <w:kern w:val="0"/>
          <w:sz w:val="32"/>
          <w:szCs w:val="32"/>
          <w:lang w:eastAsia="zh-CN"/>
          <w14:ligatures w14:val="none"/>
        </w:rPr>
      </w:pPr>
      <w:r>
        <w:rPr>
          <w:rFonts w:eastAsia="仿宋"/>
          <w:kern w:val="0"/>
          <w:sz w:val="32"/>
          <w:szCs w:val="32"/>
          <w:lang w:eastAsia="zh-CN"/>
          <w14:ligatures w14:val="none"/>
        </w:rPr>
        <w:t>上述限制性条件</w:t>
      </w:r>
      <w:r>
        <w:rPr>
          <w:rFonts w:hint="eastAsia" w:eastAsia="仿宋"/>
          <w:kern w:val="0"/>
          <w:sz w:val="32"/>
          <w:szCs w:val="32"/>
          <w:lang w:eastAsia="zh-CN"/>
          <w14:ligatures w14:val="none"/>
        </w:rPr>
        <w:t>第1条至第3条</w:t>
      </w:r>
      <w:r>
        <w:rPr>
          <w:rFonts w:eastAsia="仿宋"/>
          <w:kern w:val="0"/>
          <w:sz w:val="32"/>
          <w:szCs w:val="32"/>
          <w:lang w:eastAsia="zh-CN"/>
          <w14:ligatures w14:val="none"/>
        </w:rPr>
        <w:t>自生效日起有效至</w:t>
      </w:r>
      <w:r>
        <w:rPr>
          <w:rFonts w:hint="eastAsia" w:eastAsia="仿宋"/>
          <w:kern w:val="0"/>
          <w:sz w:val="32"/>
          <w:szCs w:val="32"/>
          <w:lang w:eastAsia="zh-CN"/>
          <w14:ligatures w14:val="none"/>
        </w:rPr>
        <w:t>203</w:t>
      </w:r>
      <w:r>
        <w:rPr>
          <w:rFonts w:eastAsia="仿宋"/>
          <w:kern w:val="0"/>
          <w:sz w:val="32"/>
          <w:szCs w:val="32"/>
          <w:lang w:eastAsia="zh-CN"/>
          <w14:ligatures w14:val="none"/>
        </w:rPr>
        <w:t>4冬季航季结束日（即</w:t>
      </w:r>
      <w:r>
        <w:rPr>
          <w:rFonts w:hint="eastAsia" w:eastAsia="仿宋"/>
          <w:kern w:val="0"/>
          <w:sz w:val="32"/>
          <w:szCs w:val="32"/>
          <w:lang w:eastAsia="zh-CN"/>
          <w14:ligatures w14:val="none"/>
        </w:rPr>
        <w:t>203</w:t>
      </w:r>
      <w:r>
        <w:rPr>
          <w:rFonts w:eastAsia="仿宋"/>
          <w:kern w:val="0"/>
          <w:sz w:val="32"/>
          <w:szCs w:val="32"/>
          <w:lang w:eastAsia="zh-CN"/>
          <w14:ligatures w14:val="none"/>
        </w:rPr>
        <w:t>5</w:t>
      </w:r>
      <w:r>
        <w:rPr>
          <w:rFonts w:hint="eastAsia" w:eastAsia="仿宋"/>
          <w:kern w:val="0"/>
          <w:sz w:val="32"/>
          <w:szCs w:val="32"/>
          <w:lang w:eastAsia="zh-CN"/>
          <w14:ligatures w14:val="none"/>
        </w:rPr>
        <w:t>年3月2</w:t>
      </w:r>
      <w:r>
        <w:rPr>
          <w:rFonts w:eastAsia="仿宋"/>
          <w:kern w:val="0"/>
          <w:sz w:val="32"/>
          <w:szCs w:val="32"/>
          <w:lang w:eastAsia="zh-CN"/>
          <w14:ligatures w14:val="none"/>
        </w:rPr>
        <w:t>4</w:t>
      </w:r>
      <w:r>
        <w:rPr>
          <w:rFonts w:hint="eastAsia" w:eastAsia="仿宋"/>
          <w:kern w:val="0"/>
          <w:sz w:val="32"/>
          <w:szCs w:val="32"/>
          <w:lang w:eastAsia="zh-CN"/>
          <w14:ligatures w14:val="none"/>
        </w:rPr>
        <w:t>日</w:t>
      </w:r>
      <w:r>
        <w:rPr>
          <w:rFonts w:eastAsia="仿宋"/>
          <w:kern w:val="0"/>
          <w:sz w:val="32"/>
          <w:szCs w:val="32"/>
          <w:lang w:eastAsia="zh-CN"/>
          <w14:ligatures w14:val="none"/>
        </w:rPr>
        <w:t>），期限届满后终止。上述限制性条件</w:t>
      </w:r>
      <w:r>
        <w:rPr>
          <w:rFonts w:hint="eastAsia" w:eastAsia="仿宋"/>
          <w:kern w:val="0"/>
          <w:sz w:val="32"/>
          <w:szCs w:val="32"/>
          <w:lang w:eastAsia="zh-CN"/>
          <w14:ligatures w14:val="none"/>
        </w:rPr>
        <w:t>第4条至第5条自生效日起有效，至限制性条件第4条及第5条规定的航班时刻转让完成后终止。</w:t>
      </w:r>
    </w:p>
    <w:p>
      <w:pPr>
        <w:widowControl w:val="0"/>
        <w:spacing w:after="120" w:line="360" w:lineRule="auto"/>
        <w:jc w:val="both"/>
        <w:rPr>
          <w:rFonts w:eastAsia="仿宋"/>
          <w:kern w:val="0"/>
          <w:sz w:val="32"/>
          <w:szCs w:val="32"/>
          <w:lang w:eastAsia="zh-CN"/>
          <w14:ligatures w14:val="none"/>
        </w:rPr>
      </w:pPr>
    </w:p>
    <w:p>
      <w:pPr>
        <w:spacing w:after="160" w:line="259" w:lineRule="auto"/>
        <w:rPr>
          <w:rFonts w:eastAsia="仿宋"/>
          <w:kern w:val="0"/>
          <w:sz w:val="32"/>
          <w:szCs w:val="32"/>
          <w:lang w:eastAsia="zh-CN"/>
          <w14:ligatures w14:val="none"/>
        </w:rPr>
      </w:pPr>
      <w:r>
        <w:rPr>
          <w:rFonts w:eastAsia="仿宋"/>
          <w:kern w:val="0"/>
          <w:sz w:val="32"/>
          <w:szCs w:val="32"/>
          <w:lang w:eastAsia="zh-CN"/>
          <w14:ligatures w14:val="none"/>
        </w:rPr>
        <w:br w:type="page"/>
      </w:r>
    </w:p>
    <w:p>
      <w:pPr>
        <w:widowControl w:val="0"/>
        <w:spacing w:after="120" w:line="360" w:lineRule="auto"/>
        <w:jc w:val="center"/>
        <w:rPr>
          <w:rFonts w:eastAsia="仿宋"/>
          <w:b/>
          <w:bCs/>
          <w:kern w:val="0"/>
          <w:sz w:val="32"/>
          <w:szCs w:val="32"/>
          <w:lang w:eastAsia="zh-CN"/>
          <w14:ligatures w14:val="none"/>
        </w:rPr>
      </w:pPr>
      <w:r>
        <w:rPr>
          <w:rFonts w:hint="eastAsia" w:eastAsia="仿宋"/>
          <w:b/>
          <w:bCs/>
          <w:kern w:val="0"/>
          <w:sz w:val="32"/>
          <w:szCs w:val="32"/>
          <w:lang w:eastAsia="zh-CN"/>
          <w14:ligatures w14:val="none"/>
        </w:rPr>
        <w:t>【保密附件</w:t>
      </w:r>
      <w:r>
        <w:rPr>
          <w:rFonts w:eastAsia="仿宋"/>
          <w:b/>
          <w:bCs/>
          <w:kern w:val="0"/>
          <w:sz w:val="32"/>
          <w:szCs w:val="32"/>
          <w:lang w:eastAsia="zh-CN"/>
          <w14:ligatures w14:val="none"/>
        </w:rPr>
        <w:t xml:space="preserve"> A</w:t>
      </w:r>
      <w:r>
        <w:rPr>
          <w:rFonts w:hint="eastAsia" w:eastAsia="仿宋"/>
          <w:b/>
          <w:bCs/>
          <w:kern w:val="0"/>
          <w:sz w:val="32"/>
          <w:szCs w:val="32"/>
          <w:lang w:eastAsia="zh-CN"/>
          <w14:ligatures w14:val="none"/>
        </w:rPr>
        <w:t>】</w:t>
      </w:r>
    </w:p>
    <w:sectPr>
      <w:headerReference r:id="rId6" w:type="first"/>
      <w:headerReference r:id="rId5" w:type="default"/>
      <w:footerReference r:id="rId7" w:type="default"/>
      <w:footerReference r:id="rId8" w:type="even"/>
      <w:pgSz w:w="11907" w:h="16839"/>
      <w:pgMar w:top="1440" w:right="1440" w:bottom="1440" w:left="1440" w:header="720" w:footer="720" w:gutter="0"/>
      <w:pgNumType w:start="1"/>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Times New Roman"/>
    <w:panose1 w:val="020B0604020202020204"/>
    <w:charset w:val="00"/>
    <w:family w:val="swiss"/>
    <w:pitch w:val="default"/>
    <w:sig w:usb0="00000000" w:usb1="00000000" w:usb2="00000009" w:usb3="00000000" w:csb0="000001FF" w:csb1="00000000"/>
  </w:font>
  <w:font w:name="Aptos">
    <w:altName w:val="方正宋体S-超大字符集(SIP)"/>
    <w:panose1 w:val="00000000000000000000"/>
    <w:charset w:val="00"/>
    <w:family w:val="swiss"/>
    <w:pitch w:val="default"/>
    <w:sig w:usb0="00000000" w:usb1="00000000" w:usb2="00000000"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DFKai-SB">
    <w:altName w:val="仿宋"/>
    <w:panose1 w:val="00000000000000000000"/>
    <w:charset w:val="88"/>
    <w:family w:val="script"/>
    <w:pitch w:val="default"/>
    <w:sig w:usb0="00000000" w:usb1="00000000" w:usb2="00000016" w:usb3="00000000" w:csb0="00100001" w:csb1="00000000"/>
  </w:font>
  <w:font w:name="Tahoma">
    <w:altName w:val="Droid Sans"/>
    <w:panose1 w:val="020B0604030504040204"/>
    <w:charset w:val="00"/>
    <w:family w:val="swiss"/>
    <w:pitch w:val="default"/>
    <w:sig w:usb0="00000000" w:usb1="00000000" w:usb2="00000029" w:usb3="00000000" w:csb0="000101FF" w:csb1="00000000"/>
  </w:font>
  <w:font w:name="仿宋">
    <w:panose1 w:val="02010609060101010101"/>
    <w:charset w:val="86"/>
    <w:family w:val="modern"/>
    <w:pitch w:val="default"/>
    <w:sig w:usb0="800002BF" w:usb1="38CF7CFA" w:usb2="00000016" w:usb3="00000000" w:csb0="00040001" w:csb1="00000000"/>
  </w:font>
  <w:font w:name="等线">
    <w:altName w:val="仿宋"/>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5"/>
      <w:tblW w:w="0" w:type="auto"/>
      <w:tblInd w:w="0" w:type="dxa"/>
      <w:tblLayout w:type="fixed"/>
      <w:tblCellMar>
        <w:top w:w="0" w:type="dxa"/>
        <w:left w:w="108" w:type="dxa"/>
        <w:bottom w:w="0" w:type="dxa"/>
        <w:right w:w="108" w:type="dxa"/>
      </w:tblCellMar>
    </w:tblPr>
    <w:tblGrid>
      <w:gridCol w:w="3192"/>
      <w:gridCol w:w="3192"/>
      <w:gridCol w:w="3192"/>
    </w:tblGrid>
    <w:tr>
      <w:trPr>
        <w:trHeight w:val="480" w:hRule="exact"/>
      </w:trPr>
      <w:tc>
        <w:tcPr>
          <w:tcW w:w="3192" w:type="dxa"/>
          <w:vAlign w:val="bottom"/>
        </w:tcPr>
        <w:p>
          <w:pPr>
            <w:pStyle w:val="25"/>
            <w:spacing w:line="200" w:lineRule="exact"/>
            <w:rPr>
              <w:rStyle w:val="89"/>
            </w:rPr>
          </w:pPr>
        </w:p>
      </w:tc>
      <w:tc>
        <w:tcPr>
          <w:tcW w:w="3192" w:type="dxa"/>
        </w:tcPr>
        <w:p>
          <w:pPr>
            <w:pStyle w:val="25"/>
            <w:jc w:val="center"/>
          </w:pPr>
          <w:r>
            <w:rPr>
              <w:rStyle w:val="40"/>
            </w:rPr>
            <w:fldChar w:fldCharType="begin"/>
          </w:r>
          <w:r>
            <w:rPr>
              <w:rStyle w:val="40"/>
            </w:rPr>
            <w:instrText xml:space="preserve"> PAGE </w:instrText>
          </w:r>
          <w:r>
            <w:rPr>
              <w:rStyle w:val="40"/>
            </w:rPr>
            <w:fldChar w:fldCharType="separate"/>
          </w:r>
          <w:r>
            <w:rPr>
              <w:rStyle w:val="40"/>
            </w:rPr>
            <w:t>2</w:t>
          </w:r>
          <w:r>
            <w:rPr>
              <w:rStyle w:val="40"/>
            </w:rPr>
            <w:fldChar w:fldCharType="end"/>
          </w:r>
        </w:p>
      </w:tc>
      <w:tc>
        <w:tcPr>
          <w:tcW w:w="3192" w:type="dxa"/>
        </w:tcPr>
        <w:p>
          <w:pPr>
            <w:pStyle w:val="25"/>
            <w:jc w:val="right"/>
            <w:rPr>
              <w:rStyle w:val="88"/>
            </w:rPr>
          </w:pPr>
          <w:r>
            <w:rPr>
              <w:rStyle w:val="88"/>
            </w:rPr>
            <w:t xml:space="preserve"> </w:t>
          </w:r>
        </w:p>
      </w:tc>
    </w:tr>
  </w:tbl>
  <w:p>
    <w:pPr>
      <w:pStyle w:val="9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0"/>
    </w:pPr>
    <w:r>
      <w:t>[FRANKFURT 395072_7]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right"/>
      <w:rPr>
        <w:rFonts w:eastAsia="宋体"/>
        <w:b/>
        <w:kern w:val="0"/>
        <w:szCs w:val="20"/>
        <w:lang w:eastAsia="zh-CN"/>
        <w14:ligatures w14:val="none"/>
      </w:rPr>
    </w:pPr>
    <w:r>
      <w:rPr>
        <w:rFonts w:hint="eastAsia" w:eastAsia="宋体"/>
        <w:b/>
        <w:kern w:val="0"/>
        <w:szCs w:val="20"/>
        <w:lang w:eastAsia="zh-CN"/>
        <w14:ligatures w14:val="none"/>
      </w:rPr>
      <w:t>非保密版</w:t>
    </w:r>
  </w:p>
  <w:p>
    <w:pPr>
      <w:pStyle w:val="26"/>
      <w:jc w:val="right"/>
    </w:pPr>
    <w:r>
      <w:rPr>
        <w:rFonts w:hint="eastAsia" w:ascii="宋体" w:hAnsi="宋体" w:eastAsia="宋体" w:cs="宋体"/>
        <w:b/>
        <w:bCs/>
        <w:sz w:val="20"/>
        <w:szCs w:val="20"/>
        <w:lang w:eastAsia="zh-CN"/>
        <w14:ligatures w14:val="none"/>
      </w:rPr>
      <w:t>信息披露对象严格限于经市场监管总局为并购审查目的而授权的实体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jc w:val="right"/>
      <w:rPr>
        <w:rFonts w:eastAsia="宋体"/>
        <w:b/>
        <w:kern w:val="0"/>
        <w:szCs w:val="20"/>
        <w:lang w:eastAsia="zh-CN"/>
        <w14:ligatures w14:val="none"/>
      </w:rPr>
    </w:pPr>
    <w:bookmarkStart w:id="3" w:name="_Hlk138925794"/>
    <w:bookmarkStart w:id="4" w:name="_Hlk138925795"/>
    <w:r>
      <w:rPr>
        <w:rFonts w:hint="eastAsia" w:eastAsia="宋体"/>
        <w:b/>
        <w:kern w:val="0"/>
        <w:szCs w:val="20"/>
        <w:lang w:eastAsia="zh-CN"/>
        <w14:ligatures w14:val="none"/>
      </w:rPr>
      <w:t>非保密版</w:t>
    </w:r>
  </w:p>
  <w:bookmarkEnd w:id="3"/>
  <w:bookmarkEnd w:id="4"/>
  <w:p>
    <w:pPr>
      <w:widowControl w:val="0"/>
      <w:pBdr>
        <w:bottom w:val="single" w:color="auto" w:sz="6" w:space="1"/>
      </w:pBdr>
      <w:tabs>
        <w:tab w:val="center" w:pos="4153"/>
        <w:tab w:val="right" w:pos="8306"/>
      </w:tabs>
      <w:snapToGrid w:val="0"/>
      <w:jc w:val="right"/>
      <w:rPr>
        <w:rFonts w:hint="eastAsia" w:ascii="等线" w:hAnsi="等线" w:eastAsia="等线" w:cs="宋体"/>
        <w:sz w:val="18"/>
        <w:szCs w:val="18"/>
        <w:lang w:eastAsia="zh-CN"/>
        <w14:ligatures w14:val="none"/>
      </w:rPr>
    </w:pPr>
    <w:r>
      <w:rPr>
        <w:rFonts w:hint="eastAsia" w:ascii="宋体" w:hAnsi="宋体" w:eastAsia="宋体" w:cs="宋体"/>
        <w:b/>
        <w:bCs/>
        <w:sz w:val="20"/>
        <w:szCs w:val="20"/>
        <w:lang w:eastAsia="zh-CN"/>
        <w14:ligatures w14:val="none"/>
      </w:rPr>
      <w:t>信息披露对象严格限于经市场监管总局为并购审查目的而授权的实体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35872"/>
    <w:multiLevelType w:val="multilevel"/>
    <w:tmpl w:val="17735872"/>
    <w:lvl w:ilvl="0" w:tentative="0">
      <w:start w:val="1"/>
      <w:numFmt w:val="decimal"/>
      <w:lvlText w:val="%1."/>
      <w:lvlJc w:val="left"/>
      <w:pPr>
        <w:ind w:left="440" w:hanging="440"/>
      </w:pPr>
    </w:lvl>
    <w:lvl w:ilvl="1" w:tentative="0">
      <w:start w:val="1"/>
      <w:numFmt w:val="decimal"/>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203E19FB"/>
    <w:multiLevelType w:val="multilevel"/>
    <w:tmpl w:val="203E19FB"/>
    <w:lvl w:ilvl="0" w:tentative="0">
      <w:start w:val="1"/>
      <w:numFmt w:val="decimal"/>
      <w:lvlText w:val="%1."/>
      <w:lvlJc w:val="left"/>
      <w:pPr>
        <w:ind w:left="440" w:hanging="440"/>
      </w:pPr>
    </w:lvl>
    <w:lvl w:ilvl="1" w:tentative="0">
      <w:start w:val="1"/>
      <w:numFmt w:val="decimal"/>
      <w:lvlText w:val="%2)"/>
      <w:lvlJc w:val="left"/>
      <w:pPr>
        <w:ind w:left="880" w:hanging="440"/>
      </w:pPr>
    </w:lvl>
    <w:lvl w:ilvl="2" w:tentative="0">
      <w:start w:val="1"/>
      <w:numFmt w:val="lowerLetter"/>
      <w:lvlText w:val="%3)"/>
      <w:lvlJc w:val="lef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31E55329"/>
    <w:multiLevelType w:val="multilevel"/>
    <w:tmpl w:val="31E55329"/>
    <w:lvl w:ilvl="0" w:tentative="0">
      <w:start w:val="1"/>
      <w:numFmt w:val="upperLetter"/>
      <w:lvlText w:val="Section %1."/>
      <w:lvlJc w:val="left"/>
      <w:pPr>
        <w:tabs>
          <w:tab w:val="left" w:pos="720"/>
        </w:tabs>
        <w:ind w:left="720" w:hanging="720"/>
      </w:pPr>
      <w:rPr>
        <w:rFonts w:hint="eastAsia"/>
        <w:b/>
        <w:i w:val="0"/>
        <w:caps/>
        <w:smallCaps w:val="0"/>
        <w:color w:val="auto"/>
        <w:sz w:val="24"/>
        <w:szCs w:val="24"/>
        <w:u w:val="none"/>
      </w:rPr>
    </w:lvl>
    <w:lvl w:ilvl="1" w:tentative="0">
      <w:start w:val="1"/>
      <w:numFmt w:val="upperLetter"/>
      <w:pStyle w:val="91"/>
      <w:lvlText w:val="%2."/>
      <w:lvlJc w:val="left"/>
      <w:pPr>
        <w:tabs>
          <w:tab w:val="left" w:pos="720"/>
        </w:tabs>
        <w:ind w:left="720" w:hanging="720"/>
      </w:pPr>
      <w:rPr>
        <w:rFonts w:ascii="Times New Roman" w:hAnsi="Times New Roman"/>
        <w:b/>
        <w:i w:val="0"/>
        <w:caps w:val="0"/>
        <w:color w:val="auto"/>
        <w:sz w:val="24"/>
        <w:szCs w:val="24"/>
        <w:u w:val="none"/>
      </w:rPr>
    </w:lvl>
    <w:lvl w:ilvl="2" w:tentative="0">
      <w:start w:val="1"/>
      <w:numFmt w:val="decimal"/>
      <w:pStyle w:val="92"/>
      <w:lvlText w:val="%3."/>
      <w:lvlJc w:val="left"/>
      <w:pPr>
        <w:tabs>
          <w:tab w:val="left" w:pos="1440"/>
        </w:tabs>
        <w:ind w:left="1440" w:hanging="720"/>
      </w:pPr>
      <w:rPr>
        <w:rFonts w:ascii="Times New Roman" w:hAnsi="Times New Roman"/>
        <w:b/>
        <w:i w:val="0"/>
        <w:caps w:val="0"/>
        <w:color w:val="auto"/>
        <w:sz w:val="24"/>
        <w:szCs w:val="24"/>
        <w:u w:val="none"/>
      </w:rPr>
    </w:lvl>
    <w:lvl w:ilvl="3" w:tentative="0">
      <w:start w:val="1"/>
      <w:numFmt w:val="lowerLetter"/>
      <w:pStyle w:val="93"/>
      <w:lvlText w:val="%4."/>
      <w:lvlJc w:val="left"/>
      <w:pPr>
        <w:tabs>
          <w:tab w:val="left" w:pos="1440"/>
        </w:tabs>
        <w:ind w:left="1440" w:hanging="720"/>
      </w:pPr>
      <w:rPr>
        <w:rFonts w:ascii="Times New Roman" w:hAnsi="Times New Roman"/>
        <w:b/>
        <w:i/>
        <w:caps w:val="0"/>
        <w:color w:val="auto"/>
        <w:sz w:val="40"/>
        <w:u w:val="none"/>
      </w:rPr>
    </w:lvl>
    <w:lvl w:ilvl="4" w:tentative="0">
      <w:start w:val="1"/>
      <w:numFmt w:val="lowerRoman"/>
      <w:pStyle w:val="94"/>
      <w:lvlText w:val="%5."/>
      <w:lvlJc w:val="left"/>
      <w:pPr>
        <w:tabs>
          <w:tab w:val="left" w:pos="1440"/>
        </w:tabs>
        <w:ind w:left="1440" w:hanging="720"/>
      </w:pPr>
      <w:rPr>
        <w:rFonts w:ascii="Times New Roman" w:hAnsi="Times New Roman"/>
        <w:b w:val="0"/>
        <w:i w:val="0"/>
        <w:caps w:val="0"/>
        <w:color w:val="auto"/>
        <w:sz w:val="40"/>
        <w:u w:val="none"/>
      </w:rPr>
    </w:lvl>
    <w:lvl w:ilvl="5" w:tentative="0">
      <w:start w:val="1"/>
      <w:numFmt w:val="decimal"/>
      <w:lvlRestart w:val="0"/>
      <w:lvlText w:val="%6. -"/>
      <w:lvlJc w:val="left"/>
      <w:pPr>
        <w:tabs>
          <w:tab w:val="left" w:pos="720"/>
        </w:tabs>
        <w:ind w:left="0" w:firstLine="0"/>
      </w:pPr>
      <w:rPr>
        <w:rFonts w:ascii="Times New Roman" w:hAnsi="Times New Roman"/>
        <w:b w:val="0"/>
        <w:i w:val="0"/>
        <w:caps w:val="0"/>
        <w:color w:val="auto"/>
        <w:sz w:val="40"/>
        <w:u w:val="none"/>
      </w:rPr>
    </w:lvl>
    <w:lvl w:ilvl="6" w:tentative="0">
      <w:start w:val="1"/>
      <w:numFmt w:val="decimal"/>
      <w:lvlText w:val="%7."/>
      <w:lvlJc w:val="left"/>
      <w:pPr>
        <w:tabs>
          <w:tab w:val="left" w:pos="2520"/>
        </w:tabs>
        <w:ind w:left="2520" w:hanging="360"/>
      </w:pPr>
      <w:rPr>
        <w:rFonts w:ascii="Times New Roman" w:hAnsi="Times New Roman"/>
        <w:sz w:val="40"/>
      </w:rPr>
    </w:lvl>
    <w:lvl w:ilvl="7" w:tentative="0">
      <w:start w:val="1"/>
      <w:numFmt w:val="lowerLetter"/>
      <w:lvlText w:val="%8."/>
      <w:lvlJc w:val="left"/>
      <w:pPr>
        <w:tabs>
          <w:tab w:val="left" w:pos="2880"/>
        </w:tabs>
        <w:ind w:left="2880" w:hanging="360"/>
      </w:pPr>
      <w:rPr>
        <w:rFonts w:ascii="Times New Roman" w:hAnsi="Times New Roman"/>
        <w:sz w:val="40"/>
      </w:rPr>
    </w:lvl>
    <w:lvl w:ilvl="8" w:tentative="0">
      <w:start w:val="1"/>
      <w:numFmt w:val="lowerRoman"/>
      <w:lvlText w:val="%9."/>
      <w:lvlJc w:val="left"/>
      <w:pPr>
        <w:tabs>
          <w:tab w:val="left" w:pos="3240"/>
        </w:tabs>
        <w:ind w:left="3240" w:hanging="360"/>
      </w:pPr>
      <w:rPr>
        <w:rFonts w:ascii="Times New Roman" w:hAnsi="Times New Roman"/>
        <w:sz w:val="40"/>
      </w:rPr>
    </w:lvl>
  </w:abstractNum>
  <w:abstractNum w:abstractNumId="3">
    <w:nsid w:val="4F2210EF"/>
    <w:multiLevelType w:val="multilevel"/>
    <w:tmpl w:val="4F2210EF"/>
    <w:lvl w:ilvl="0" w:tentative="0">
      <w:start w:val="1"/>
      <w:numFmt w:val="lowerLetter"/>
      <w:lvlText w:val="%1)"/>
      <w:lvlJc w:val="left"/>
      <w:pPr>
        <w:ind w:left="1080" w:hanging="440"/>
      </w:p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4">
    <w:nsid w:val="5E407F52"/>
    <w:multiLevelType w:val="multilevel"/>
    <w:tmpl w:val="5E407F52"/>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NotDisplayPageBoundaries w:val="true"/>
  <w:bordersDoNotSurroundHeader w:val="true"/>
  <w:bordersDoNotSurroundFooter w:val="true"/>
  <w:revisionView w:markup="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A8E"/>
    <w:rsid w:val="00001FCD"/>
    <w:rsid w:val="00002B66"/>
    <w:rsid w:val="000049B2"/>
    <w:rsid w:val="00012064"/>
    <w:rsid w:val="000146F7"/>
    <w:rsid w:val="00021ADD"/>
    <w:rsid w:val="0002599E"/>
    <w:rsid w:val="0003040E"/>
    <w:rsid w:val="000314C5"/>
    <w:rsid w:val="00032F20"/>
    <w:rsid w:val="0003387A"/>
    <w:rsid w:val="00034CA6"/>
    <w:rsid w:val="00044CC3"/>
    <w:rsid w:val="00044E4C"/>
    <w:rsid w:val="0005631C"/>
    <w:rsid w:val="00071532"/>
    <w:rsid w:val="000721D1"/>
    <w:rsid w:val="00073306"/>
    <w:rsid w:val="00074417"/>
    <w:rsid w:val="000752EC"/>
    <w:rsid w:val="0008296E"/>
    <w:rsid w:val="00082F34"/>
    <w:rsid w:val="000847D7"/>
    <w:rsid w:val="00091BAE"/>
    <w:rsid w:val="00091CAD"/>
    <w:rsid w:val="00092F43"/>
    <w:rsid w:val="000A02A0"/>
    <w:rsid w:val="000A3416"/>
    <w:rsid w:val="000C4643"/>
    <w:rsid w:val="000D0558"/>
    <w:rsid w:val="000D6E45"/>
    <w:rsid w:val="000E0D49"/>
    <w:rsid w:val="000E108A"/>
    <w:rsid w:val="000E4EE3"/>
    <w:rsid w:val="000E587F"/>
    <w:rsid w:val="000E6FBF"/>
    <w:rsid w:val="000E78DD"/>
    <w:rsid w:val="000F17FC"/>
    <w:rsid w:val="000F481F"/>
    <w:rsid w:val="00102AFF"/>
    <w:rsid w:val="001044B6"/>
    <w:rsid w:val="00112ACB"/>
    <w:rsid w:val="0011407E"/>
    <w:rsid w:val="0012244B"/>
    <w:rsid w:val="00124000"/>
    <w:rsid w:val="00124D42"/>
    <w:rsid w:val="001305D3"/>
    <w:rsid w:val="00130E6E"/>
    <w:rsid w:val="0013136C"/>
    <w:rsid w:val="00132900"/>
    <w:rsid w:val="0014281D"/>
    <w:rsid w:val="001471B8"/>
    <w:rsid w:val="00154962"/>
    <w:rsid w:val="0015566D"/>
    <w:rsid w:val="001600E0"/>
    <w:rsid w:val="00162B60"/>
    <w:rsid w:val="00166CAF"/>
    <w:rsid w:val="001706E4"/>
    <w:rsid w:val="00170C54"/>
    <w:rsid w:val="00171DFA"/>
    <w:rsid w:val="00172A91"/>
    <w:rsid w:val="00176BBD"/>
    <w:rsid w:val="001841A7"/>
    <w:rsid w:val="00187626"/>
    <w:rsid w:val="00191817"/>
    <w:rsid w:val="00193444"/>
    <w:rsid w:val="001B0FCF"/>
    <w:rsid w:val="001B1582"/>
    <w:rsid w:val="001B1D56"/>
    <w:rsid w:val="001B3415"/>
    <w:rsid w:val="001B4D17"/>
    <w:rsid w:val="001B572F"/>
    <w:rsid w:val="001C5480"/>
    <w:rsid w:val="001D32FC"/>
    <w:rsid w:val="001E1516"/>
    <w:rsid w:val="001E271C"/>
    <w:rsid w:val="001E3279"/>
    <w:rsid w:val="001F056D"/>
    <w:rsid w:val="002037B7"/>
    <w:rsid w:val="00203E0D"/>
    <w:rsid w:val="00206A5F"/>
    <w:rsid w:val="00210E4E"/>
    <w:rsid w:val="00211DF0"/>
    <w:rsid w:val="00211E30"/>
    <w:rsid w:val="002147B8"/>
    <w:rsid w:val="00220BDA"/>
    <w:rsid w:val="00221DCE"/>
    <w:rsid w:val="002247BE"/>
    <w:rsid w:val="00224E31"/>
    <w:rsid w:val="00226600"/>
    <w:rsid w:val="00226DC4"/>
    <w:rsid w:val="00232147"/>
    <w:rsid w:val="00233643"/>
    <w:rsid w:val="00235769"/>
    <w:rsid w:val="0024033A"/>
    <w:rsid w:val="00240820"/>
    <w:rsid w:val="002419BC"/>
    <w:rsid w:val="00255F0F"/>
    <w:rsid w:val="00260906"/>
    <w:rsid w:val="00261289"/>
    <w:rsid w:val="00262354"/>
    <w:rsid w:val="00263503"/>
    <w:rsid w:val="00263694"/>
    <w:rsid w:val="00265E32"/>
    <w:rsid w:val="002778F5"/>
    <w:rsid w:val="00284582"/>
    <w:rsid w:val="00284962"/>
    <w:rsid w:val="002865F9"/>
    <w:rsid w:val="0028693E"/>
    <w:rsid w:val="00286BD8"/>
    <w:rsid w:val="00287CA5"/>
    <w:rsid w:val="002A0AC4"/>
    <w:rsid w:val="002A1212"/>
    <w:rsid w:val="002B2AD8"/>
    <w:rsid w:val="002B5113"/>
    <w:rsid w:val="002B7F8B"/>
    <w:rsid w:val="002C0FBD"/>
    <w:rsid w:val="002C1E40"/>
    <w:rsid w:val="002C27E9"/>
    <w:rsid w:val="002C4887"/>
    <w:rsid w:val="002C5FDB"/>
    <w:rsid w:val="002C6A10"/>
    <w:rsid w:val="002D42D2"/>
    <w:rsid w:val="002E683B"/>
    <w:rsid w:val="002F43E0"/>
    <w:rsid w:val="00300CAA"/>
    <w:rsid w:val="00305C7D"/>
    <w:rsid w:val="00305DF6"/>
    <w:rsid w:val="00314358"/>
    <w:rsid w:val="00315EF0"/>
    <w:rsid w:val="00316204"/>
    <w:rsid w:val="00320625"/>
    <w:rsid w:val="003207B9"/>
    <w:rsid w:val="00323351"/>
    <w:rsid w:val="003238FA"/>
    <w:rsid w:val="00325CC7"/>
    <w:rsid w:val="00325D23"/>
    <w:rsid w:val="003303BE"/>
    <w:rsid w:val="00335B7A"/>
    <w:rsid w:val="00335CE1"/>
    <w:rsid w:val="00336FD9"/>
    <w:rsid w:val="00337CF6"/>
    <w:rsid w:val="00341389"/>
    <w:rsid w:val="00350771"/>
    <w:rsid w:val="003533DC"/>
    <w:rsid w:val="00353AC1"/>
    <w:rsid w:val="00357FC8"/>
    <w:rsid w:val="00360797"/>
    <w:rsid w:val="003611A8"/>
    <w:rsid w:val="0036125F"/>
    <w:rsid w:val="00371188"/>
    <w:rsid w:val="00376184"/>
    <w:rsid w:val="0038066C"/>
    <w:rsid w:val="00381889"/>
    <w:rsid w:val="00382EBF"/>
    <w:rsid w:val="00384F11"/>
    <w:rsid w:val="00397C01"/>
    <w:rsid w:val="003A43C6"/>
    <w:rsid w:val="003B0A52"/>
    <w:rsid w:val="003B2079"/>
    <w:rsid w:val="003B5379"/>
    <w:rsid w:val="003C0B99"/>
    <w:rsid w:val="003C4DD7"/>
    <w:rsid w:val="003C5536"/>
    <w:rsid w:val="003D3C33"/>
    <w:rsid w:val="003D578A"/>
    <w:rsid w:val="003D699B"/>
    <w:rsid w:val="003E42C6"/>
    <w:rsid w:val="003E59F4"/>
    <w:rsid w:val="003E5F56"/>
    <w:rsid w:val="003E78F4"/>
    <w:rsid w:val="003F01FA"/>
    <w:rsid w:val="003F53BA"/>
    <w:rsid w:val="00400E53"/>
    <w:rsid w:val="00411101"/>
    <w:rsid w:val="00411EE7"/>
    <w:rsid w:val="00412063"/>
    <w:rsid w:val="004133BA"/>
    <w:rsid w:val="00414980"/>
    <w:rsid w:val="004168FE"/>
    <w:rsid w:val="00417A3B"/>
    <w:rsid w:val="004215DD"/>
    <w:rsid w:val="00422A13"/>
    <w:rsid w:val="00424F2D"/>
    <w:rsid w:val="00430B67"/>
    <w:rsid w:val="00430E8E"/>
    <w:rsid w:val="00444DF9"/>
    <w:rsid w:val="00444F0A"/>
    <w:rsid w:val="00445400"/>
    <w:rsid w:val="0044699D"/>
    <w:rsid w:val="004469A2"/>
    <w:rsid w:val="00447023"/>
    <w:rsid w:val="004528CB"/>
    <w:rsid w:val="0045379F"/>
    <w:rsid w:val="004557AB"/>
    <w:rsid w:val="00461C91"/>
    <w:rsid w:val="00465CC1"/>
    <w:rsid w:val="00467545"/>
    <w:rsid w:val="004758CA"/>
    <w:rsid w:val="00477E7E"/>
    <w:rsid w:val="0048215D"/>
    <w:rsid w:val="00486670"/>
    <w:rsid w:val="00495502"/>
    <w:rsid w:val="00496C6B"/>
    <w:rsid w:val="004A2C2A"/>
    <w:rsid w:val="004B4832"/>
    <w:rsid w:val="004D1D3B"/>
    <w:rsid w:val="004D257A"/>
    <w:rsid w:val="004D2EB0"/>
    <w:rsid w:val="004D30B3"/>
    <w:rsid w:val="004D4C28"/>
    <w:rsid w:val="004D60B0"/>
    <w:rsid w:val="004D71FE"/>
    <w:rsid w:val="004D7953"/>
    <w:rsid w:val="004E0950"/>
    <w:rsid w:val="004E2312"/>
    <w:rsid w:val="004E2687"/>
    <w:rsid w:val="004F467F"/>
    <w:rsid w:val="004F7C02"/>
    <w:rsid w:val="00501688"/>
    <w:rsid w:val="00502D29"/>
    <w:rsid w:val="00503269"/>
    <w:rsid w:val="0050559E"/>
    <w:rsid w:val="005100FD"/>
    <w:rsid w:val="00513A5F"/>
    <w:rsid w:val="0053245B"/>
    <w:rsid w:val="0053480F"/>
    <w:rsid w:val="0053634A"/>
    <w:rsid w:val="00536F3C"/>
    <w:rsid w:val="00547B95"/>
    <w:rsid w:val="00547D3E"/>
    <w:rsid w:val="00550089"/>
    <w:rsid w:val="00555B4F"/>
    <w:rsid w:val="00562C3C"/>
    <w:rsid w:val="00564789"/>
    <w:rsid w:val="00571CB6"/>
    <w:rsid w:val="00571F54"/>
    <w:rsid w:val="00575094"/>
    <w:rsid w:val="00583264"/>
    <w:rsid w:val="005873B7"/>
    <w:rsid w:val="00592A96"/>
    <w:rsid w:val="00593790"/>
    <w:rsid w:val="005A3080"/>
    <w:rsid w:val="005A3422"/>
    <w:rsid w:val="005A4B14"/>
    <w:rsid w:val="005A6C9D"/>
    <w:rsid w:val="005B2661"/>
    <w:rsid w:val="005B628A"/>
    <w:rsid w:val="005B7022"/>
    <w:rsid w:val="005C0BEA"/>
    <w:rsid w:val="005D2A41"/>
    <w:rsid w:val="005D51C7"/>
    <w:rsid w:val="005E0CED"/>
    <w:rsid w:val="005E125D"/>
    <w:rsid w:val="005E6E93"/>
    <w:rsid w:val="005E740F"/>
    <w:rsid w:val="005E790D"/>
    <w:rsid w:val="005E7CE7"/>
    <w:rsid w:val="005F0600"/>
    <w:rsid w:val="005F0DAC"/>
    <w:rsid w:val="005F4BD8"/>
    <w:rsid w:val="005F6660"/>
    <w:rsid w:val="00601C00"/>
    <w:rsid w:val="0060340E"/>
    <w:rsid w:val="00604383"/>
    <w:rsid w:val="006348D2"/>
    <w:rsid w:val="006409D0"/>
    <w:rsid w:val="00640ADD"/>
    <w:rsid w:val="00645080"/>
    <w:rsid w:val="006450A2"/>
    <w:rsid w:val="006450CA"/>
    <w:rsid w:val="00651D93"/>
    <w:rsid w:val="006610E1"/>
    <w:rsid w:val="00670966"/>
    <w:rsid w:val="00681976"/>
    <w:rsid w:val="00685397"/>
    <w:rsid w:val="00686FF9"/>
    <w:rsid w:val="00691D69"/>
    <w:rsid w:val="00692033"/>
    <w:rsid w:val="00692402"/>
    <w:rsid w:val="006928B3"/>
    <w:rsid w:val="0069530E"/>
    <w:rsid w:val="00696380"/>
    <w:rsid w:val="006A16DA"/>
    <w:rsid w:val="006A31F3"/>
    <w:rsid w:val="006A706B"/>
    <w:rsid w:val="006A717E"/>
    <w:rsid w:val="006B569C"/>
    <w:rsid w:val="006B79E3"/>
    <w:rsid w:val="006C71AF"/>
    <w:rsid w:val="006D2827"/>
    <w:rsid w:val="006D3AE4"/>
    <w:rsid w:val="006D3FB2"/>
    <w:rsid w:val="006D6E00"/>
    <w:rsid w:val="006E2C32"/>
    <w:rsid w:val="006E4904"/>
    <w:rsid w:val="006E7DD8"/>
    <w:rsid w:val="006F0897"/>
    <w:rsid w:val="006F1C44"/>
    <w:rsid w:val="006F2343"/>
    <w:rsid w:val="006F39E4"/>
    <w:rsid w:val="006F6C9C"/>
    <w:rsid w:val="00701D57"/>
    <w:rsid w:val="00707059"/>
    <w:rsid w:val="00707699"/>
    <w:rsid w:val="00713A8F"/>
    <w:rsid w:val="00721B1E"/>
    <w:rsid w:val="00722536"/>
    <w:rsid w:val="00722B38"/>
    <w:rsid w:val="00722C0F"/>
    <w:rsid w:val="00731FB2"/>
    <w:rsid w:val="007366CF"/>
    <w:rsid w:val="00736C16"/>
    <w:rsid w:val="007415D1"/>
    <w:rsid w:val="007437A2"/>
    <w:rsid w:val="007472B7"/>
    <w:rsid w:val="0075522A"/>
    <w:rsid w:val="0076024C"/>
    <w:rsid w:val="00762CEF"/>
    <w:rsid w:val="00766092"/>
    <w:rsid w:val="007666E4"/>
    <w:rsid w:val="007667D5"/>
    <w:rsid w:val="0077050C"/>
    <w:rsid w:val="007723F2"/>
    <w:rsid w:val="00775A46"/>
    <w:rsid w:val="0077706A"/>
    <w:rsid w:val="00781B8A"/>
    <w:rsid w:val="00785385"/>
    <w:rsid w:val="00785BDF"/>
    <w:rsid w:val="00790309"/>
    <w:rsid w:val="007936D4"/>
    <w:rsid w:val="00797EE5"/>
    <w:rsid w:val="007A128B"/>
    <w:rsid w:val="007B01D8"/>
    <w:rsid w:val="007B5BE5"/>
    <w:rsid w:val="007B6ECF"/>
    <w:rsid w:val="007C0653"/>
    <w:rsid w:val="007C3F0D"/>
    <w:rsid w:val="007C6D37"/>
    <w:rsid w:val="007C7D04"/>
    <w:rsid w:val="007D3AB2"/>
    <w:rsid w:val="007D7B79"/>
    <w:rsid w:val="007F0A97"/>
    <w:rsid w:val="007F261A"/>
    <w:rsid w:val="007F50B9"/>
    <w:rsid w:val="0080196F"/>
    <w:rsid w:val="0080751F"/>
    <w:rsid w:val="0081406A"/>
    <w:rsid w:val="008170D0"/>
    <w:rsid w:val="008203BD"/>
    <w:rsid w:val="00823CC0"/>
    <w:rsid w:val="00832D09"/>
    <w:rsid w:val="00834426"/>
    <w:rsid w:val="00837B00"/>
    <w:rsid w:val="0084187A"/>
    <w:rsid w:val="00842ED6"/>
    <w:rsid w:val="00843791"/>
    <w:rsid w:val="00845609"/>
    <w:rsid w:val="00847EA4"/>
    <w:rsid w:val="008512CE"/>
    <w:rsid w:val="008517AD"/>
    <w:rsid w:val="00855B76"/>
    <w:rsid w:val="0085668A"/>
    <w:rsid w:val="00856A43"/>
    <w:rsid w:val="008600B2"/>
    <w:rsid w:val="008617CB"/>
    <w:rsid w:val="00861CD0"/>
    <w:rsid w:val="0086240B"/>
    <w:rsid w:val="0086256C"/>
    <w:rsid w:val="00864E40"/>
    <w:rsid w:val="008660E4"/>
    <w:rsid w:val="008678CC"/>
    <w:rsid w:val="0087369D"/>
    <w:rsid w:val="00873CCE"/>
    <w:rsid w:val="00874B8E"/>
    <w:rsid w:val="0087658C"/>
    <w:rsid w:val="00883959"/>
    <w:rsid w:val="00883ED9"/>
    <w:rsid w:val="008859BE"/>
    <w:rsid w:val="00890DF3"/>
    <w:rsid w:val="00894B10"/>
    <w:rsid w:val="008A2882"/>
    <w:rsid w:val="008A7380"/>
    <w:rsid w:val="008D1AA1"/>
    <w:rsid w:val="008D514B"/>
    <w:rsid w:val="008D5D0E"/>
    <w:rsid w:val="008D6447"/>
    <w:rsid w:val="008E252A"/>
    <w:rsid w:val="008E6206"/>
    <w:rsid w:val="008E76DE"/>
    <w:rsid w:val="008E795E"/>
    <w:rsid w:val="008F1F0E"/>
    <w:rsid w:val="008F292B"/>
    <w:rsid w:val="008F5521"/>
    <w:rsid w:val="0090123B"/>
    <w:rsid w:val="00901B31"/>
    <w:rsid w:val="00906B50"/>
    <w:rsid w:val="00907F2A"/>
    <w:rsid w:val="00907FDE"/>
    <w:rsid w:val="00910472"/>
    <w:rsid w:val="0091332C"/>
    <w:rsid w:val="00913647"/>
    <w:rsid w:val="00922246"/>
    <w:rsid w:val="00922568"/>
    <w:rsid w:val="00923023"/>
    <w:rsid w:val="00924BD3"/>
    <w:rsid w:val="00931271"/>
    <w:rsid w:val="00931A8E"/>
    <w:rsid w:val="009320E4"/>
    <w:rsid w:val="00934BAA"/>
    <w:rsid w:val="0093577A"/>
    <w:rsid w:val="00935BF2"/>
    <w:rsid w:val="00941A3C"/>
    <w:rsid w:val="00942CE6"/>
    <w:rsid w:val="00950DEB"/>
    <w:rsid w:val="00956A88"/>
    <w:rsid w:val="0095761C"/>
    <w:rsid w:val="00960DE6"/>
    <w:rsid w:val="00962CEA"/>
    <w:rsid w:val="0096664E"/>
    <w:rsid w:val="0096771E"/>
    <w:rsid w:val="00987424"/>
    <w:rsid w:val="00992BE9"/>
    <w:rsid w:val="009954BD"/>
    <w:rsid w:val="009A2004"/>
    <w:rsid w:val="009A49AE"/>
    <w:rsid w:val="009A544E"/>
    <w:rsid w:val="009A6925"/>
    <w:rsid w:val="009B617E"/>
    <w:rsid w:val="009C0DE8"/>
    <w:rsid w:val="009C628A"/>
    <w:rsid w:val="009C7C0C"/>
    <w:rsid w:val="009C7C71"/>
    <w:rsid w:val="009D1040"/>
    <w:rsid w:val="009D70AC"/>
    <w:rsid w:val="009E2036"/>
    <w:rsid w:val="009E23AE"/>
    <w:rsid w:val="009E3D74"/>
    <w:rsid w:val="009E4468"/>
    <w:rsid w:val="009F07BB"/>
    <w:rsid w:val="009F1D08"/>
    <w:rsid w:val="009F200E"/>
    <w:rsid w:val="009F2866"/>
    <w:rsid w:val="009F798D"/>
    <w:rsid w:val="00A013E8"/>
    <w:rsid w:val="00A120B8"/>
    <w:rsid w:val="00A243FC"/>
    <w:rsid w:val="00A300AA"/>
    <w:rsid w:val="00A344FA"/>
    <w:rsid w:val="00A34D26"/>
    <w:rsid w:val="00A3581E"/>
    <w:rsid w:val="00A36BB1"/>
    <w:rsid w:val="00A40334"/>
    <w:rsid w:val="00A52754"/>
    <w:rsid w:val="00A62663"/>
    <w:rsid w:val="00A65C82"/>
    <w:rsid w:val="00A74D5E"/>
    <w:rsid w:val="00A77693"/>
    <w:rsid w:val="00A77AE4"/>
    <w:rsid w:val="00A80772"/>
    <w:rsid w:val="00A80AC0"/>
    <w:rsid w:val="00A817E5"/>
    <w:rsid w:val="00A8318E"/>
    <w:rsid w:val="00A84235"/>
    <w:rsid w:val="00A84433"/>
    <w:rsid w:val="00A860C3"/>
    <w:rsid w:val="00AA04C9"/>
    <w:rsid w:val="00AA1325"/>
    <w:rsid w:val="00AA53E1"/>
    <w:rsid w:val="00AB229C"/>
    <w:rsid w:val="00AB3E2D"/>
    <w:rsid w:val="00AB417E"/>
    <w:rsid w:val="00AB55CB"/>
    <w:rsid w:val="00AB59EA"/>
    <w:rsid w:val="00AB711E"/>
    <w:rsid w:val="00AB7FD1"/>
    <w:rsid w:val="00AC527C"/>
    <w:rsid w:val="00AD4101"/>
    <w:rsid w:val="00AF1CD1"/>
    <w:rsid w:val="00AF26E5"/>
    <w:rsid w:val="00AF2EB7"/>
    <w:rsid w:val="00AF43EF"/>
    <w:rsid w:val="00AF4439"/>
    <w:rsid w:val="00B0256C"/>
    <w:rsid w:val="00B03602"/>
    <w:rsid w:val="00B03E2C"/>
    <w:rsid w:val="00B05BB5"/>
    <w:rsid w:val="00B06CA5"/>
    <w:rsid w:val="00B12AE5"/>
    <w:rsid w:val="00B13825"/>
    <w:rsid w:val="00B13884"/>
    <w:rsid w:val="00B140A1"/>
    <w:rsid w:val="00B16107"/>
    <w:rsid w:val="00B20E20"/>
    <w:rsid w:val="00B23CE1"/>
    <w:rsid w:val="00B24C70"/>
    <w:rsid w:val="00B36F2E"/>
    <w:rsid w:val="00B377ED"/>
    <w:rsid w:val="00B4015E"/>
    <w:rsid w:val="00B41420"/>
    <w:rsid w:val="00B457D9"/>
    <w:rsid w:val="00B46CE3"/>
    <w:rsid w:val="00B5144C"/>
    <w:rsid w:val="00B52BF2"/>
    <w:rsid w:val="00B54283"/>
    <w:rsid w:val="00B5570E"/>
    <w:rsid w:val="00B55BFB"/>
    <w:rsid w:val="00B57530"/>
    <w:rsid w:val="00B60AA3"/>
    <w:rsid w:val="00B6178D"/>
    <w:rsid w:val="00B61A73"/>
    <w:rsid w:val="00B6538A"/>
    <w:rsid w:val="00B66638"/>
    <w:rsid w:val="00B66BEE"/>
    <w:rsid w:val="00B66E64"/>
    <w:rsid w:val="00B66F80"/>
    <w:rsid w:val="00B67616"/>
    <w:rsid w:val="00B70C69"/>
    <w:rsid w:val="00B7414B"/>
    <w:rsid w:val="00B818C7"/>
    <w:rsid w:val="00B81DD2"/>
    <w:rsid w:val="00B8253D"/>
    <w:rsid w:val="00B843A4"/>
    <w:rsid w:val="00B84E45"/>
    <w:rsid w:val="00B86732"/>
    <w:rsid w:val="00B874FC"/>
    <w:rsid w:val="00BA2820"/>
    <w:rsid w:val="00BA5C09"/>
    <w:rsid w:val="00BB082B"/>
    <w:rsid w:val="00BB0C63"/>
    <w:rsid w:val="00BC3B57"/>
    <w:rsid w:val="00BC458F"/>
    <w:rsid w:val="00BC7CA0"/>
    <w:rsid w:val="00BC7D6B"/>
    <w:rsid w:val="00BD28D6"/>
    <w:rsid w:val="00BD4156"/>
    <w:rsid w:val="00BD6C9C"/>
    <w:rsid w:val="00BE429B"/>
    <w:rsid w:val="00BF22A4"/>
    <w:rsid w:val="00BF5EE1"/>
    <w:rsid w:val="00C0019D"/>
    <w:rsid w:val="00C018F8"/>
    <w:rsid w:val="00C07A08"/>
    <w:rsid w:val="00C1334F"/>
    <w:rsid w:val="00C15BF6"/>
    <w:rsid w:val="00C21812"/>
    <w:rsid w:val="00C2189A"/>
    <w:rsid w:val="00C225F1"/>
    <w:rsid w:val="00C321DF"/>
    <w:rsid w:val="00C3274F"/>
    <w:rsid w:val="00C3338E"/>
    <w:rsid w:val="00C34989"/>
    <w:rsid w:val="00C4371A"/>
    <w:rsid w:val="00C4395F"/>
    <w:rsid w:val="00C45B5D"/>
    <w:rsid w:val="00C45D5F"/>
    <w:rsid w:val="00C45D78"/>
    <w:rsid w:val="00C466DB"/>
    <w:rsid w:val="00C468CB"/>
    <w:rsid w:val="00C468D8"/>
    <w:rsid w:val="00C46905"/>
    <w:rsid w:val="00C46DE7"/>
    <w:rsid w:val="00C4797B"/>
    <w:rsid w:val="00C511C7"/>
    <w:rsid w:val="00C5220D"/>
    <w:rsid w:val="00C546CD"/>
    <w:rsid w:val="00C6423F"/>
    <w:rsid w:val="00C65AA3"/>
    <w:rsid w:val="00C71764"/>
    <w:rsid w:val="00C71887"/>
    <w:rsid w:val="00C7475D"/>
    <w:rsid w:val="00C81D55"/>
    <w:rsid w:val="00C83A14"/>
    <w:rsid w:val="00C90AB1"/>
    <w:rsid w:val="00C90C4E"/>
    <w:rsid w:val="00C93E39"/>
    <w:rsid w:val="00C9645D"/>
    <w:rsid w:val="00CA0469"/>
    <w:rsid w:val="00CA1226"/>
    <w:rsid w:val="00CA5AC5"/>
    <w:rsid w:val="00CB4844"/>
    <w:rsid w:val="00CB69A5"/>
    <w:rsid w:val="00CC16B0"/>
    <w:rsid w:val="00CC36D8"/>
    <w:rsid w:val="00CD35A3"/>
    <w:rsid w:val="00CD724C"/>
    <w:rsid w:val="00CE31B9"/>
    <w:rsid w:val="00CF0A3C"/>
    <w:rsid w:val="00CF2A4A"/>
    <w:rsid w:val="00CF5F20"/>
    <w:rsid w:val="00CF6754"/>
    <w:rsid w:val="00D00CFB"/>
    <w:rsid w:val="00D01EA7"/>
    <w:rsid w:val="00D03505"/>
    <w:rsid w:val="00D03E43"/>
    <w:rsid w:val="00D05A5D"/>
    <w:rsid w:val="00D16DC5"/>
    <w:rsid w:val="00D25EC0"/>
    <w:rsid w:val="00D27105"/>
    <w:rsid w:val="00D30609"/>
    <w:rsid w:val="00D31204"/>
    <w:rsid w:val="00D31B95"/>
    <w:rsid w:val="00D32138"/>
    <w:rsid w:val="00D32F39"/>
    <w:rsid w:val="00D43F97"/>
    <w:rsid w:val="00D46158"/>
    <w:rsid w:val="00D47D8A"/>
    <w:rsid w:val="00D55F7E"/>
    <w:rsid w:val="00D5732F"/>
    <w:rsid w:val="00D614D9"/>
    <w:rsid w:val="00D641EB"/>
    <w:rsid w:val="00D67037"/>
    <w:rsid w:val="00D70BE7"/>
    <w:rsid w:val="00D71122"/>
    <w:rsid w:val="00D73AA9"/>
    <w:rsid w:val="00D86A65"/>
    <w:rsid w:val="00D902E0"/>
    <w:rsid w:val="00D94CC6"/>
    <w:rsid w:val="00D959C0"/>
    <w:rsid w:val="00DA0B0A"/>
    <w:rsid w:val="00DB122C"/>
    <w:rsid w:val="00DB4DB0"/>
    <w:rsid w:val="00DB729C"/>
    <w:rsid w:val="00DC151B"/>
    <w:rsid w:val="00DC1589"/>
    <w:rsid w:val="00DC4C12"/>
    <w:rsid w:val="00DD034B"/>
    <w:rsid w:val="00DD0EE4"/>
    <w:rsid w:val="00DD548E"/>
    <w:rsid w:val="00DE29A4"/>
    <w:rsid w:val="00DE3100"/>
    <w:rsid w:val="00DE38F5"/>
    <w:rsid w:val="00DE682A"/>
    <w:rsid w:val="00DE7A1A"/>
    <w:rsid w:val="00DF1307"/>
    <w:rsid w:val="00DF74CB"/>
    <w:rsid w:val="00DF76FA"/>
    <w:rsid w:val="00DF7B98"/>
    <w:rsid w:val="00E03142"/>
    <w:rsid w:val="00E04EC1"/>
    <w:rsid w:val="00E10927"/>
    <w:rsid w:val="00E1395A"/>
    <w:rsid w:val="00E13E49"/>
    <w:rsid w:val="00E17124"/>
    <w:rsid w:val="00E179F2"/>
    <w:rsid w:val="00E24D75"/>
    <w:rsid w:val="00E24E52"/>
    <w:rsid w:val="00E259DF"/>
    <w:rsid w:val="00E3071C"/>
    <w:rsid w:val="00E30B79"/>
    <w:rsid w:val="00E35190"/>
    <w:rsid w:val="00E36828"/>
    <w:rsid w:val="00E419BC"/>
    <w:rsid w:val="00E531B4"/>
    <w:rsid w:val="00E56047"/>
    <w:rsid w:val="00E617C1"/>
    <w:rsid w:val="00E61E47"/>
    <w:rsid w:val="00E6208E"/>
    <w:rsid w:val="00E661B6"/>
    <w:rsid w:val="00E67462"/>
    <w:rsid w:val="00E76E8C"/>
    <w:rsid w:val="00E9056D"/>
    <w:rsid w:val="00E953E3"/>
    <w:rsid w:val="00E9687B"/>
    <w:rsid w:val="00EA3BA8"/>
    <w:rsid w:val="00EB12C5"/>
    <w:rsid w:val="00EB1A02"/>
    <w:rsid w:val="00EB1E10"/>
    <w:rsid w:val="00EB777E"/>
    <w:rsid w:val="00EB7810"/>
    <w:rsid w:val="00EC3D6D"/>
    <w:rsid w:val="00EC6018"/>
    <w:rsid w:val="00EC6CF1"/>
    <w:rsid w:val="00ED174A"/>
    <w:rsid w:val="00EE043B"/>
    <w:rsid w:val="00EE28EE"/>
    <w:rsid w:val="00EE3300"/>
    <w:rsid w:val="00EE4252"/>
    <w:rsid w:val="00EF17A1"/>
    <w:rsid w:val="00EF3638"/>
    <w:rsid w:val="00EF44E1"/>
    <w:rsid w:val="00EF4801"/>
    <w:rsid w:val="00EF6A13"/>
    <w:rsid w:val="00EF7DD1"/>
    <w:rsid w:val="00F001CF"/>
    <w:rsid w:val="00F01F9C"/>
    <w:rsid w:val="00F03C48"/>
    <w:rsid w:val="00F06664"/>
    <w:rsid w:val="00F06840"/>
    <w:rsid w:val="00F07A5E"/>
    <w:rsid w:val="00F112F3"/>
    <w:rsid w:val="00F2066B"/>
    <w:rsid w:val="00F245DF"/>
    <w:rsid w:val="00F25AA7"/>
    <w:rsid w:val="00F25C18"/>
    <w:rsid w:val="00F27C0C"/>
    <w:rsid w:val="00F3176A"/>
    <w:rsid w:val="00F339EE"/>
    <w:rsid w:val="00F40A55"/>
    <w:rsid w:val="00F43A94"/>
    <w:rsid w:val="00F47755"/>
    <w:rsid w:val="00F546D9"/>
    <w:rsid w:val="00F60FA2"/>
    <w:rsid w:val="00F65C39"/>
    <w:rsid w:val="00F66C33"/>
    <w:rsid w:val="00F740C3"/>
    <w:rsid w:val="00F759DA"/>
    <w:rsid w:val="00F817FD"/>
    <w:rsid w:val="00F81CA8"/>
    <w:rsid w:val="00F82097"/>
    <w:rsid w:val="00F85DB3"/>
    <w:rsid w:val="00F85FDE"/>
    <w:rsid w:val="00F903FC"/>
    <w:rsid w:val="00F9137C"/>
    <w:rsid w:val="00F92247"/>
    <w:rsid w:val="00F96087"/>
    <w:rsid w:val="00F96750"/>
    <w:rsid w:val="00F970DE"/>
    <w:rsid w:val="00FA0AE5"/>
    <w:rsid w:val="00FA1192"/>
    <w:rsid w:val="00FA23CE"/>
    <w:rsid w:val="00FA45FF"/>
    <w:rsid w:val="00FB2BE3"/>
    <w:rsid w:val="00FB34BE"/>
    <w:rsid w:val="00FB4461"/>
    <w:rsid w:val="00FB6A6C"/>
    <w:rsid w:val="00FC37AF"/>
    <w:rsid w:val="00FC4C42"/>
    <w:rsid w:val="00FD1B99"/>
    <w:rsid w:val="00FD5CB0"/>
    <w:rsid w:val="00FD5E9F"/>
    <w:rsid w:val="00FD75CA"/>
    <w:rsid w:val="00FD75F2"/>
    <w:rsid w:val="00FE1BF0"/>
    <w:rsid w:val="00FE3AAB"/>
    <w:rsid w:val="00FF0220"/>
    <w:rsid w:val="00FF4EA5"/>
    <w:rsid w:val="00FF60C4"/>
    <w:rsid w:val="00FF62F5"/>
    <w:rsid w:val="DF7FAD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iPriority="19" w:semiHidden="0" w:name="Normal"/>
    <w:lsdException w:qFormat="1"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3" w:name="footnote text"/>
    <w:lsdException w:qFormat="1"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qFormat="1"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qFormat="1" w:uiPriority="99" w:name="Closing"/>
    <w:lsdException w:qFormat="1" w:unhideWhenUsed="0" w:uiPriority="3"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iPriority="99" w:name="Salutation"/>
    <w:lsdException w:unhideWhenUsed="0" w:uiPriority="0" w:semiHidden="0" w:name="Date"/>
    <w:lsdException w:qFormat="1" w:unhideWhenUsed="0" w:uiPriority="0" w:semiHidden="0" w:name="Body Text First Indent"/>
    <w:lsdException w:qFormat="1" w:uiPriority="1" w:name="Body Text First Indent 2"/>
    <w:lsdException w:uiPriority="99" w:name="Note Heading"/>
    <w:lsdException w:qFormat="1" w:uiPriority="1" w:name="Body Text 2"/>
    <w:lsdException w:qFormat="1" w:uiPriority="2" w:name="Body Text 3"/>
    <w:lsdException w:qFormat="1" w:uiPriority="1" w:name="Body Text Indent 2"/>
    <w:lsdException w:qFormat="1" w:uiPriority="2" w:name="Body Text Indent 3"/>
    <w:lsdException w:qFormat="1" w:unhideWhenUsed="0"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19"/>
    <w:pPr>
      <w:spacing w:after="0" w:line="240" w:lineRule="auto"/>
    </w:pPr>
    <w:rPr>
      <w:rFonts w:ascii="Times New Roman" w:hAnsi="Times New Roman" w:eastAsia="DFKai-SB" w:cs="Times New Roman"/>
      <w:kern w:val="2"/>
      <w:sz w:val="24"/>
      <w:szCs w:val="24"/>
      <w:lang w:val="en-US" w:eastAsia="en-US" w:bidi="ar-SA"/>
      <w14:ligatures w14:val="standardContextual"/>
    </w:rPr>
  </w:style>
  <w:style w:type="paragraph" w:styleId="2">
    <w:name w:val="heading 1"/>
    <w:basedOn w:val="1"/>
    <w:next w:val="1"/>
    <w:link w:val="68"/>
    <w:unhideWhenUsed/>
    <w:qFormat/>
    <w:uiPriority w:val="9"/>
    <w:pPr>
      <w:keepNext/>
      <w:keepLines/>
      <w:spacing w:after="240"/>
      <w:outlineLvl w:val="0"/>
    </w:pPr>
    <w:rPr>
      <w:rFonts w:cstheme="majorBidi"/>
      <w:b/>
      <w:bCs/>
      <w:szCs w:val="28"/>
    </w:rPr>
  </w:style>
  <w:style w:type="paragraph" w:styleId="3">
    <w:name w:val="heading 2"/>
    <w:basedOn w:val="1"/>
    <w:next w:val="1"/>
    <w:link w:val="69"/>
    <w:semiHidden/>
    <w:unhideWhenUsed/>
    <w:qFormat/>
    <w:uiPriority w:val="9"/>
    <w:pPr>
      <w:keepNext/>
      <w:keepLines/>
      <w:spacing w:after="240"/>
      <w:outlineLvl w:val="1"/>
    </w:pPr>
    <w:rPr>
      <w:rFonts w:cstheme="majorBidi"/>
      <w:b/>
      <w:bCs/>
      <w:szCs w:val="26"/>
    </w:rPr>
  </w:style>
  <w:style w:type="paragraph" w:styleId="4">
    <w:name w:val="heading 3"/>
    <w:basedOn w:val="1"/>
    <w:next w:val="1"/>
    <w:link w:val="70"/>
    <w:semiHidden/>
    <w:unhideWhenUsed/>
    <w:qFormat/>
    <w:uiPriority w:val="9"/>
    <w:pPr>
      <w:keepNext/>
      <w:keepLines/>
      <w:spacing w:after="240"/>
      <w:outlineLvl w:val="2"/>
    </w:pPr>
    <w:rPr>
      <w:rFonts w:cstheme="majorBidi"/>
      <w:bCs/>
    </w:rPr>
  </w:style>
  <w:style w:type="paragraph" w:styleId="5">
    <w:name w:val="heading 4"/>
    <w:basedOn w:val="1"/>
    <w:next w:val="1"/>
    <w:link w:val="71"/>
    <w:semiHidden/>
    <w:unhideWhenUsed/>
    <w:qFormat/>
    <w:uiPriority w:val="9"/>
    <w:pPr>
      <w:keepNext/>
      <w:keepLines/>
      <w:spacing w:after="240"/>
      <w:outlineLvl w:val="3"/>
    </w:pPr>
    <w:rPr>
      <w:rFonts w:cstheme="majorBidi"/>
      <w:bCs/>
      <w:iCs/>
    </w:rPr>
  </w:style>
  <w:style w:type="paragraph" w:styleId="6">
    <w:name w:val="heading 5"/>
    <w:basedOn w:val="1"/>
    <w:next w:val="1"/>
    <w:link w:val="72"/>
    <w:semiHidden/>
    <w:unhideWhenUsed/>
    <w:qFormat/>
    <w:uiPriority w:val="9"/>
    <w:pPr>
      <w:keepNext/>
      <w:keepLines/>
      <w:spacing w:after="240"/>
      <w:outlineLvl w:val="4"/>
    </w:pPr>
    <w:rPr>
      <w:rFonts w:cstheme="majorBidi"/>
    </w:rPr>
  </w:style>
  <w:style w:type="paragraph" w:styleId="7">
    <w:name w:val="heading 6"/>
    <w:basedOn w:val="1"/>
    <w:next w:val="1"/>
    <w:link w:val="73"/>
    <w:semiHidden/>
    <w:unhideWhenUsed/>
    <w:qFormat/>
    <w:uiPriority w:val="9"/>
    <w:pPr>
      <w:keepNext/>
      <w:keepLines/>
      <w:spacing w:after="240"/>
      <w:outlineLvl w:val="5"/>
    </w:pPr>
    <w:rPr>
      <w:rFonts w:cstheme="majorBidi"/>
      <w:iCs/>
    </w:rPr>
  </w:style>
  <w:style w:type="paragraph" w:styleId="8">
    <w:name w:val="heading 7"/>
    <w:basedOn w:val="1"/>
    <w:next w:val="1"/>
    <w:link w:val="74"/>
    <w:semiHidden/>
    <w:unhideWhenUsed/>
    <w:qFormat/>
    <w:uiPriority w:val="9"/>
    <w:pPr>
      <w:keepNext/>
      <w:keepLines/>
      <w:spacing w:after="240"/>
      <w:outlineLvl w:val="6"/>
    </w:pPr>
    <w:rPr>
      <w:rFonts w:cstheme="majorBidi"/>
      <w:iCs/>
    </w:rPr>
  </w:style>
  <w:style w:type="paragraph" w:styleId="9">
    <w:name w:val="heading 8"/>
    <w:basedOn w:val="1"/>
    <w:next w:val="1"/>
    <w:link w:val="75"/>
    <w:semiHidden/>
    <w:unhideWhenUsed/>
    <w:qFormat/>
    <w:uiPriority w:val="9"/>
    <w:pPr>
      <w:keepNext/>
      <w:keepLines/>
      <w:spacing w:after="240"/>
      <w:outlineLvl w:val="7"/>
    </w:pPr>
    <w:rPr>
      <w:rFonts w:cstheme="majorBidi"/>
      <w:szCs w:val="20"/>
    </w:rPr>
  </w:style>
  <w:style w:type="paragraph" w:styleId="10">
    <w:name w:val="heading 9"/>
    <w:basedOn w:val="1"/>
    <w:next w:val="1"/>
    <w:link w:val="76"/>
    <w:semiHidden/>
    <w:unhideWhenUsed/>
    <w:qFormat/>
    <w:uiPriority w:val="9"/>
    <w:pPr>
      <w:keepNext/>
      <w:keepLines/>
      <w:spacing w:after="240"/>
      <w:outlineLvl w:val="8"/>
    </w:pPr>
    <w:rPr>
      <w:rFonts w:cstheme="majorBidi"/>
      <w:iCs/>
      <w:szCs w:val="20"/>
    </w:rPr>
  </w:style>
  <w:style w:type="character" w:default="1" w:styleId="38">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pPr>
      <w:spacing w:after="200"/>
    </w:pPr>
    <w:rPr>
      <w:b/>
      <w:bCs/>
      <w:sz w:val="18"/>
      <w:szCs w:val="18"/>
    </w:rPr>
  </w:style>
  <w:style w:type="paragraph" w:styleId="12">
    <w:name w:val="toa heading"/>
    <w:basedOn w:val="1"/>
    <w:next w:val="1"/>
    <w:semiHidden/>
    <w:unhideWhenUsed/>
    <w:qFormat/>
    <w:uiPriority w:val="99"/>
    <w:pPr>
      <w:spacing w:after="240"/>
      <w:jc w:val="center"/>
    </w:pPr>
    <w:rPr>
      <w:bCs/>
    </w:rPr>
  </w:style>
  <w:style w:type="paragraph" w:styleId="13">
    <w:name w:val="annotation text"/>
    <w:basedOn w:val="1"/>
    <w:link w:val="96"/>
    <w:unhideWhenUsed/>
    <w:qFormat/>
    <w:uiPriority w:val="99"/>
  </w:style>
  <w:style w:type="paragraph" w:styleId="14">
    <w:name w:val="Salutation"/>
    <w:basedOn w:val="1"/>
    <w:next w:val="15"/>
    <w:link w:val="81"/>
    <w:semiHidden/>
    <w:unhideWhenUsed/>
    <w:qFormat/>
    <w:uiPriority w:val="99"/>
    <w:pPr>
      <w:spacing w:after="240"/>
    </w:pPr>
  </w:style>
  <w:style w:type="paragraph" w:styleId="15">
    <w:name w:val="Body Text"/>
    <w:basedOn w:val="1"/>
    <w:link w:val="46"/>
    <w:qFormat/>
    <w:uiPriority w:val="0"/>
    <w:pPr>
      <w:spacing w:after="240"/>
    </w:pPr>
  </w:style>
  <w:style w:type="paragraph" w:styleId="16">
    <w:name w:val="Body Text 3"/>
    <w:basedOn w:val="1"/>
    <w:link w:val="48"/>
    <w:semiHidden/>
    <w:unhideWhenUsed/>
    <w:qFormat/>
    <w:uiPriority w:val="2"/>
    <w:pPr>
      <w:spacing w:after="120" w:line="360" w:lineRule="auto"/>
    </w:pPr>
    <w:rPr>
      <w:szCs w:val="16"/>
    </w:rPr>
  </w:style>
  <w:style w:type="paragraph" w:styleId="17">
    <w:name w:val="Closing"/>
    <w:basedOn w:val="1"/>
    <w:next w:val="18"/>
    <w:link w:val="55"/>
    <w:semiHidden/>
    <w:unhideWhenUsed/>
    <w:qFormat/>
    <w:uiPriority w:val="99"/>
    <w:pPr>
      <w:ind w:left="4680"/>
    </w:pPr>
  </w:style>
  <w:style w:type="paragraph" w:styleId="18">
    <w:name w:val="Signature"/>
    <w:basedOn w:val="1"/>
    <w:next w:val="1"/>
    <w:link w:val="56"/>
    <w:qFormat/>
    <w:uiPriority w:val="3"/>
    <w:pPr>
      <w:spacing w:before="720"/>
      <w:ind w:left="4680"/>
    </w:pPr>
  </w:style>
  <w:style w:type="paragraph" w:styleId="19">
    <w:name w:val="Body Text Indent"/>
    <w:basedOn w:val="1"/>
    <w:link w:val="50"/>
    <w:qFormat/>
    <w:uiPriority w:val="0"/>
    <w:pPr>
      <w:spacing w:after="240"/>
      <w:ind w:left="720"/>
    </w:pPr>
  </w:style>
  <w:style w:type="paragraph" w:styleId="20">
    <w:name w:val="Block Text"/>
    <w:basedOn w:val="1"/>
    <w:qFormat/>
    <w:uiPriority w:val="0"/>
    <w:pPr>
      <w:spacing w:after="240"/>
      <w:ind w:left="720" w:right="720"/>
    </w:pPr>
    <w:rPr>
      <w:iCs/>
    </w:rPr>
  </w:style>
  <w:style w:type="paragraph" w:styleId="21">
    <w:name w:val="Date"/>
    <w:basedOn w:val="1"/>
    <w:next w:val="1"/>
    <w:link w:val="57"/>
    <w:uiPriority w:val="0"/>
    <w:pPr>
      <w:spacing w:after="240"/>
      <w:jc w:val="right"/>
    </w:pPr>
    <w:rPr>
      <w:b/>
    </w:rPr>
  </w:style>
  <w:style w:type="paragraph" w:styleId="22">
    <w:name w:val="Body Text Indent 2"/>
    <w:basedOn w:val="1"/>
    <w:link w:val="53"/>
    <w:semiHidden/>
    <w:unhideWhenUsed/>
    <w:qFormat/>
    <w:uiPriority w:val="1"/>
    <w:pPr>
      <w:spacing w:line="480" w:lineRule="auto"/>
      <w:ind w:left="720"/>
    </w:pPr>
  </w:style>
  <w:style w:type="paragraph" w:styleId="23">
    <w:name w:val="endnote text"/>
    <w:basedOn w:val="1"/>
    <w:link w:val="58"/>
    <w:semiHidden/>
    <w:unhideWhenUsed/>
    <w:uiPriority w:val="99"/>
    <w:pPr>
      <w:spacing w:after="120"/>
      <w:ind w:firstLine="720"/>
    </w:pPr>
    <w:rPr>
      <w:sz w:val="20"/>
      <w:szCs w:val="20"/>
    </w:rPr>
  </w:style>
  <w:style w:type="paragraph" w:styleId="24">
    <w:name w:val="Balloon Text"/>
    <w:basedOn w:val="1"/>
    <w:link w:val="43"/>
    <w:semiHidden/>
    <w:unhideWhenUsed/>
    <w:qFormat/>
    <w:uiPriority w:val="99"/>
    <w:rPr>
      <w:rFonts w:ascii="Tahoma" w:hAnsi="Tahoma" w:cs="Tahoma"/>
      <w:sz w:val="16"/>
      <w:szCs w:val="16"/>
    </w:rPr>
  </w:style>
  <w:style w:type="paragraph" w:styleId="25">
    <w:name w:val="footer"/>
    <w:basedOn w:val="1"/>
    <w:link w:val="59"/>
    <w:unhideWhenUsed/>
    <w:uiPriority w:val="99"/>
    <w:pPr>
      <w:tabs>
        <w:tab w:val="center" w:pos="4680"/>
        <w:tab w:val="right" w:pos="9360"/>
      </w:tabs>
    </w:pPr>
  </w:style>
  <w:style w:type="paragraph" w:styleId="26">
    <w:name w:val="header"/>
    <w:basedOn w:val="1"/>
    <w:link w:val="67"/>
    <w:unhideWhenUsed/>
    <w:uiPriority w:val="99"/>
    <w:pPr>
      <w:tabs>
        <w:tab w:val="center" w:pos="4680"/>
        <w:tab w:val="right" w:pos="9360"/>
      </w:tabs>
    </w:pPr>
  </w:style>
  <w:style w:type="paragraph" w:styleId="27">
    <w:name w:val="Subtitle"/>
    <w:basedOn w:val="1"/>
    <w:next w:val="28"/>
    <w:link w:val="83"/>
    <w:qFormat/>
    <w:uiPriority w:val="0"/>
    <w:pPr>
      <w:keepNext/>
      <w:spacing w:after="240"/>
      <w:contextualSpacing/>
      <w:jc w:val="center"/>
    </w:pPr>
    <w:rPr>
      <w:b/>
      <w:iCs/>
    </w:rPr>
  </w:style>
  <w:style w:type="paragraph" w:styleId="28">
    <w:name w:val="Body Text First Indent"/>
    <w:basedOn w:val="1"/>
    <w:link w:val="49"/>
    <w:qFormat/>
    <w:uiPriority w:val="0"/>
    <w:pPr>
      <w:spacing w:after="240"/>
      <w:ind w:firstLine="720"/>
    </w:pPr>
  </w:style>
  <w:style w:type="paragraph" w:styleId="29">
    <w:name w:val="footnote text"/>
    <w:basedOn w:val="1"/>
    <w:next w:val="1"/>
    <w:link w:val="60"/>
    <w:semiHidden/>
    <w:unhideWhenUsed/>
    <w:qFormat/>
    <w:uiPriority w:val="3"/>
    <w:pPr>
      <w:spacing w:after="120"/>
      <w:ind w:firstLine="720"/>
    </w:pPr>
    <w:rPr>
      <w:sz w:val="20"/>
      <w:szCs w:val="20"/>
    </w:rPr>
  </w:style>
  <w:style w:type="paragraph" w:styleId="30">
    <w:name w:val="Body Text Indent 3"/>
    <w:basedOn w:val="1"/>
    <w:link w:val="54"/>
    <w:semiHidden/>
    <w:unhideWhenUsed/>
    <w:qFormat/>
    <w:uiPriority w:val="2"/>
    <w:pPr>
      <w:spacing w:after="120" w:line="360" w:lineRule="auto"/>
      <w:ind w:left="720"/>
    </w:pPr>
    <w:rPr>
      <w:szCs w:val="16"/>
    </w:rPr>
  </w:style>
  <w:style w:type="paragraph" w:styleId="31">
    <w:name w:val="Body Text 2"/>
    <w:basedOn w:val="1"/>
    <w:link w:val="47"/>
    <w:semiHidden/>
    <w:unhideWhenUsed/>
    <w:qFormat/>
    <w:uiPriority w:val="1"/>
    <w:pPr>
      <w:spacing w:line="480" w:lineRule="auto"/>
    </w:pPr>
  </w:style>
  <w:style w:type="paragraph" w:styleId="32">
    <w:name w:val="Title"/>
    <w:basedOn w:val="1"/>
    <w:next w:val="28"/>
    <w:link w:val="85"/>
    <w:qFormat/>
    <w:uiPriority w:val="0"/>
    <w:pPr>
      <w:keepNext/>
      <w:spacing w:after="240"/>
      <w:contextualSpacing/>
      <w:jc w:val="center"/>
    </w:pPr>
    <w:rPr>
      <w:b/>
      <w:caps/>
      <w:szCs w:val="52"/>
    </w:rPr>
  </w:style>
  <w:style w:type="paragraph" w:styleId="33">
    <w:name w:val="annotation subject"/>
    <w:basedOn w:val="13"/>
    <w:next w:val="13"/>
    <w:link w:val="97"/>
    <w:semiHidden/>
    <w:unhideWhenUsed/>
    <w:qFormat/>
    <w:uiPriority w:val="99"/>
    <w:rPr>
      <w:b/>
      <w:bCs/>
    </w:rPr>
  </w:style>
  <w:style w:type="paragraph" w:styleId="34">
    <w:name w:val="Body Text First Indent 2"/>
    <w:basedOn w:val="1"/>
    <w:link w:val="51"/>
    <w:semiHidden/>
    <w:unhideWhenUsed/>
    <w:qFormat/>
    <w:uiPriority w:val="1"/>
    <w:pPr>
      <w:spacing w:line="480" w:lineRule="auto"/>
      <w:ind w:firstLine="720"/>
    </w:pPr>
  </w:style>
  <w:style w:type="table" w:styleId="36">
    <w:name w:val="Table Grid"/>
    <w:basedOn w:val="35"/>
    <w:qFormat/>
    <w:uiPriority w:val="59"/>
    <w:pPr>
      <w:spacing w:after="0" w:line="240" w:lineRule="auto"/>
    </w:pPr>
    <w:rPr>
      <w:rFonts w:ascii="Times New Roman" w:hAnsi="Times New Roman" w:eastAsia="DFKai-SB" w:cs="Times New Roman"/>
      <w:sz w:val="24"/>
      <w:szCs w:val="24"/>
      <w:lang w:eastAsia="zh-C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37">
    <w:name w:val="Colorful Grid"/>
    <w:basedOn w:val="35"/>
    <w:qFormat/>
    <w:uiPriority w:val="73"/>
    <w:pPr>
      <w:spacing w:after="0" w:line="240" w:lineRule="auto"/>
    </w:pPr>
    <w:rPr>
      <w:rFonts w:ascii="Times New Roman" w:hAnsi="Times New Roman" w:eastAsia="DFKai-SB" w:cs="Times New Roman"/>
      <w:color w:val="000000" w:themeColor="text1"/>
      <w:sz w:val="24"/>
      <w:szCs w:val="24"/>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character" w:styleId="39">
    <w:name w:val="endnote reference"/>
    <w:basedOn w:val="38"/>
    <w:semiHidden/>
    <w:unhideWhenUsed/>
    <w:uiPriority w:val="99"/>
    <w:rPr>
      <w:vertAlign w:val="superscript"/>
    </w:rPr>
  </w:style>
  <w:style w:type="character" w:styleId="40">
    <w:name w:val="page number"/>
    <w:basedOn w:val="38"/>
    <w:semiHidden/>
    <w:qFormat/>
    <w:uiPriority w:val="0"/>
  </w:style>
  <w:style w:type="character" w:styleId="41">
    <w:name w:val="annotation reference"/>
    <w:basedOn w:val="38"/>
    <w:semiHidden/>
    <w:unhideWhenUsed/>
    <w:qFormat/>
    <w:uiPriority w:val="99"/>
    <w:rPr>
      <w:sz w:val="21"/>
      <w:szCs w:val="21"/>
    </w:rPr>
  </w:style>
  <w:style w:type="character" w:styleId="42">
    <w:name w:val="footnote reference"/>
    <w:basedOn w:val="38"/>
    <w:semiHidden/>
    <w:unhideWhenUsed/>
    <w:qFormat/>
    <w:uiPriority w:val="99"/>
    <w:rPr>
      <w:vertAlign w:val="superscript"/>
    </w:rPr>
  </w:style>
  <w:style w:type="character" w:customStyle="1" w:styleId="43">
    <w:name w:val="批注框文本 字符"/>
    <w:basedOn w:val="38"/>
    <w:link w:val="24"/>
    <w:semiHidden/>
    <w:qFormat/>
    <w:uiPriority w:val="99"/>
    <w:rPr>
      <w:rFonts w:ascii="Tahoma" w:hAnsi="Tahoma" w:eastAsia="DFKai-SB" w:cs="Tahoma"/>
      <w:sz w:val="16"/>
      <w:szCs w:val="16"/>
    </w:rPr>
  </w:style>
  <w:style w:type="paragraph" w:customStyle="1" w:styleId="44">
    <w:name w:val="Block Text 2"/>
    <w:basedOn w:val="1"/>
    <w:semiHidden/>
    <w:unhideWhenUsed/>
    <w:qFormat/>
    <w:uiPriority w:val="1"/>
    <w:pPr>
      <w:spacing w:line="480" w:lineRule="auto"/>
      <w:ind w:left="720" w:right="720"/>
    </w:pPr>
  </w:style>
  <w:style w:type="paragraph" w:customStyle="1" w:styleId="45">
    <w:name w:val="Block Text 3"/>
    <w:basedOn w:val="1"/>
    <w:semiHidden/>
    <w:unhideWhenUsed/>
    <w:qFormat/>
    <w:uiPriority w:val="2"/>
    <w:pPr>
      <w:spacing w:after="120" w:line="360" w:lineRule="auto"/>
      <w:ind w:left="720" w:right="720"/>
    </w:pPr>
  </w:style>
  <w:style w:type="character" w:customStyle="1" w:styleId="46">
    <w:name w:val="正文文本 字符"/>
    <w:basedOn w:val="38"/>
    <w:link w:val="15"/>
    <w:qFormat/>
    <w:uiPriority w:val="0"/>
    <w:rPr>
      <w:rFonts w:ascii="Times New Roman" w:hAnsi="Times New Roman" w:eastAsia="DFKai-SB" w:cs="Times New Roman"/>
      <w:sz w:val="24"/>
      <w:szCs w:val="24"/>
    </w:rPr>
  </w:style>
  <w:style w:type="character" w:customStyle="1" w:styleId="47">
    <w:name w:val="正文文本 2 字符"/>
    <w:basedOn w:val="38"/>
    <w:link w:val="31"/>
    <w:semiHidden/>
    <w:qFormat/>
    <w:uiPriority w:val="1"/>
    <w:rPr>
      <w:rFonts w:ascii="Times New Roman" w:hAnsi="Times New Roman" w:eastAsia="DFKai-SB" w:cs="Times New Roman"/>
      <w:sz w:val="24"/>
      <w:szCs w:val="24"/>
    </w:rPr>
  </w:style>
  <w:style w:type="character" w:customStyle="1" w:styleId="48">
    <w:name w:val="正文文本 3 字符"/>
    <w:basedOn w:val="38"/>
    <w:link w:val="16"/>
    <w:semiHidden/>
    <w:qFormat/>
    <w:uiPriority w:val="2"/>
    <w:rPr>
      <w:rFonts w:ascii="Times New Roman" w:hAnsi="Times New Roman" w:eastAsia="DFKai-SB" w:cs="Times New Roman"/>
      <w:sz w:val="24"/>
      <w:szCs w:val="16"/>
    </w:rPr>
  </w:style>
  <w:style w:type="character" w:customStyle="1" w:styleId="49">
    <w:name w:val="正文文本首行缩进 字符"/>
    <w:basedOn w:val="46"/>
    <w:link w:val="28"/>
    <w:qFormat/>
    <w:uiPriority w:val="0"/>
    <w:rPr>
      <w:rFonts w:ascii="Times New Roman" w:hAnsi="Times New Roman" w:eastAsia="DFKai-SB" w:cs="Times New Roman"/>
      <w:sz w:val="24"/>
      <w:szCs w:val="24"/>
    </w:rPr>
  </w:style>
  <w:style w:type="character" w:customStyle="1" w:styleId="50">
    <w:name w:val="正文文本缩进 字符"/>
    <w:basedOn w:val="38"/>
    <w:link w:val="19"/>
    <w:qFormat/>
    <w:uiPriority w:val="0"/>
    <w:rPr>
      <w:rFonts w:ascii="Times New Roman" w:hAnsi="Times New Roman" w:eastAsia="DFKai-SB" w:cs="Times New Roman"/>
      <w:sz w:val="24"/>
      <w:szCs w:val="24"/>
    </w:rPr>
  </w:style>
  <w:style w:type="character" w:customStyle="1" w:styleId="51">
    <w:name w:val="正文文本首行缩进 2 字符"/>
    <w:basedOn w:val="50"/>
    <w:link w:val="34"/>
    <w:semiHidden/>
    <w:qFormat/>
    <w:uiPriority w:val="1"/>
    <w:rPr>
      <w:rFonts w:ascii="Times New Roman" w:hAnsi="Times New Roman" w:eastAsia="DFKai-SB" w:cs="Times New Roman"/>
      <w:sz w:val="24"/>
      <w:szCs w:val="24"/>
    </w:rPr>
  </w:style>
  <w:style w:type="paragraph" w:customStyle="1" w:styleId="52">
    <w:name w:val="Body Text First Indent 3"/>
    <w:basedOn w:val="1"/>
    <w:semiHidden/>
    <w:unhideWhenUsed/>
    <w:qFormat/>
    <w:uiPriority w:val="2"/>
    <w:pPr>
      <w:spacing w:after="120" w:line="360" w:lineRule="auto"/>
      <w:ind w:firstLine="720"/>
    </w:pPr>
  </w:style>
  <w:style w:type="character" w:customStyle="1" w:styleId="53">
    <w:name w:val="正文文本缩进 2 字符"/>
    <w:basedOn w:val="38"/>
    <w:link w:val="22"/>
    <w:semiHidden/>
    <w:qFormat/>
    <w:uiPriority w:val="1"/>
    <w:rPr>
      <w:rFonts w:ascii="Times New Roman" w:hAnsi="Times New Roman" w:eastAsia="DFKai-SB" w:cs="Times New Roman"/>
      <w:sz w:val="24"/>
      <w:szCs w:val="24"/>
    </w:rPr>
  </w:style>
  <w:style w:type="character" w:customStyle="1" w:styleId="54">
    <w:name w:val="正文文本缩进 3 字符"/>
    <w:basedOn w:val="38"/>
    <w:link w:val="30"/>
    <w:semiHidden/>
    <w:qFormat/>
    <w:uiPriority w:val="2"/>
    <w:rPr>
      <w:rFonts w:ascii="Times New Roman" w:hAnsi="Times New Roman" w:eastAsia="DFKai-SB" w:cs="Times New Roman"/>
      <w:sz w:val="24"/>
      <w:szCs w:val="16"/>
    </w:rPr>
  </w:style>
  <w:style w:type="character" w:customStyle="1" w:styleId="55">
    <w:name w:val="结束语 字符"/>
    <w:basedOn w:val="38"/>
    <w:link w:val="17"/>
    <w:semiHidden/>
    <w:qFormat/>
    <w:uiPriority w:val="99"/>
    <w:rPr>
      <w:rFonts w:ascii="Times New Roman" w:hAnsi="Times New Roman" w:eastAsia="DFKai-SB" w:cs="Times New Roman"/>
      <w:sz w:val="24"/>
      <w:szCs w:val="24"/>
    </w:rPr>
  </w:style>
  <w:style w:type="character" w:customStyle="1" w:styleId="56">
    <w:name w:val="签名 字符"/>
    <w:basedOn w:val="38"/>
    <w:link w:val="18"/>
    <w:uiPriority w:val="3"/>
    <w:rPr>
      <w:rFonts w:ascii="Times New Roman" w:hAnsi="Times New Roman" w:eastAsia="DFKai-SB" w:cs="Times New Roman"/>
      <w:sz w:val="24"/>
      <w:szCs w:val="24"/>
    </w:rPr>
  </w:style>
  <w:style w:type="character" w:customStyle="1" w:styleId="57">
    <w:name w:val="日期 字符"/>
    <w:basedOn w:val="38"/>
    <w:link w:val="21"/>
    <w:qFormat/>
    <w:uiPriority w:val="0"/>
    <w:rPr>
      <w:rFonts w:ascii="Times New Roman" w:hAnsi="Times New Roman" w:eastAsia="DFKai-SB" w:cs="Times New Roman"/>
      <w:b/>
      <w:sz w:val="24"/>
      <w:szCs w:val="24"/>
    </w:rPr>
  </w:style>
  <w:style w:type="character" w:customStyle="1" w:styleId="58">
    <w:name w:val="尾注文本 字符"/>
    <w:basedOn w:val="38"/>
    <w:link w:val="23"/>
    <w:semiHidden/>
    <w:qFormat/>
    <w:uiPriority w:val="99"/>
    <w:rPr>
      <w:rFonts w:ascii="Times New Roman" w:hAnsi="Times New Roman" w:eastAsia="DFKai-SB" w:cs="Times New Roman"/>
      <w:sz w:val="20"/>
      <w:szCs w:val="20"/>
    </w:rPr>
  </w:style>
  <w:style w:type="character" w:customStyle="1" w:styleId="59">
    <w:name w:val="页脚 字符"/>
    <w:basedOn w:val="38"/>
    <w:link w:val="25"/>
    <w:qFormat/>
    <w:uiPriority w:val="99"/>
    <w:rPr>
      <w:rFonts w:ascii="Times New Roman" w:hAnsi="Times New Roman" w:eastAsia="DFKai-SB" w:cs="Times New Roman"/>
      <w:sz w:val="24"/>
      <w:szCs w:val="24"/>
    </w:rPr>
  </w:style>
  <w:style w:type="character" w:customStyle="1" w:styleId="60">
    <w:name w:val="脚注文本 字符"/>
    <w:basedOn w:val="38"/>
    <w:link w:val="29"/>
    <w:semiHidden/>
    <w:qFormat/>
    <w:uiPriority w:val="3"/>
    <w:rPr>
      <w:rFonts w:ascii="Times New Roman" w:hAnsi="Times New Roman" w:eastAsia="DFKai-SB" w:cs="Times New Roman"/>
      <w:sz w:val="20"/>
      <w:szCs w:val="20"/>
    </w:rPr>
  </w:style>
  <w:style w:type="paragraph" w:customStyle="1" w:styleId="61">
    <w:name w:val="Footnote Continued"/>
    <w:basedOn w:val="29"/>
    <w:qFormat/>
    <w:uiPriority w:val="3"/>
    <w:pPr>
      <w:ind w:firstLine="0"/>
    </w:pPr>
  </w:style>
  <w:style w:type="paragraph" w:customStyle="1" w:styleId="62">
    <w:name w:val="Footnote Quote"/>
    <w:basedOn w:val="29"/>
    <w:qFormat/>
    <w:uiPriority w:val="3"/>
    <w:pPr>
      <w:ind w:left="1440" w:right="1440" w:firstLine="0"/>
    </w:pPr>
  </w:style>
  <w:style w:type="paragraph" w:customStyle="1" w:styleId="63">
    <w:name w:val="Footnote Separator"/>
    <w:basedOn w:val="1"/>
    <w:semiHidden/>
    <w:qFormat/>
    <w:uiPriority w:val="19"/>
    <w:rPr>
      <w:sz w:val="20"/>
    </w:rPr>
  </w:style>
  <w:style w:type="paragraph" w:customStyle="1" w:styleId="64">
    <w:name w:val="GraphicC"/>
    <w:basedOn w:val="1"/>
    <w:qFormat/>
    <w:uiPriority w:val="3"/>
    <w:pPr>
      <w:spacing w:after="240"/>
      <w:jc w:val="center"/>
    </w:pPr>
  </w:style>
  <w:style w:type="paragraph" w:customStyle="1" w:styleId="65">
    <w:name w:val="GraphicL"/>
    <w:basedOn w:val="1"/>
    <w:qFormat/>
    <w:uiPriority w:val="3"/>
    <w:pPr>
      <w:spacing w:after="240"/>
    </w:pPr>
  </w:style>
  <w:style w:type="paragraph" w:customStyle="1" w:styleId="66">
    <w:name w:val="GraphicR"/>
    <w:basedOn w:val="1"/>
    <w:qFormat/>
    <w:uiPriority w:val="3"/>
    <w:pPr>
      <w:spacing w:after="240"/>
      <w:jc w:val="right"/>
    </w:pPr>
  </w:style>
  <w:style w:type="character" w:customStyle="1" w:styleId="67">
    <w:name w:val="页眉 字符"/>
    <w:basedOn w:val="38"/>
    <w:link w:val="26"/>
    <w:qFormat/>
    <w:uiPriority w:val="99"/>
    <w:rPr>
      <w:rFonts w:ascii="Times New Roman" w:hAnsi="Times New Roman" w:eastAsia="DFKai-SB" w:cs="Times New Roman"/>
      <w:sz w:val="24"/>
      <w:szCs w:val="24"/>
    </w:rPr>
  </w:style>
  <w:style w:type="character" w:customStyle="1" w:styleId="68">
    <w:name w:val="标题 1 字符"/>
    <w:basedOn w:val="38"/>
    <w:link w:val="2"/>
    <w:qFormat/>
    <w:uiPriority w:val="9"/>
    <w:rPr>
      <w:rFonts w:ascii="Times New Roman" w:hAnsi="Times New Roman" w:eastAsia="DFKai-SB" w:cstheme="majorBidi"/>
      <w:b/>
      <w:bCs/>
      <w:sz w:val="24"/>
      <w:szCs w:val="28"/>
    </w:rPr>
  </w:style>
  <w:style w:type="character" w:customStyle="1" w:styleId="69">
    <w:name w:val="标题 2 字符"/>
    <w:basedOn w:val="38"/>
    <w:link w:val="3"/>
    <w:semiHidden/>
    <w:qFormat/>
    <w:uiPriority w:val="9"/>
    <w:rPr>
      <w:rFonts w:ascii="Times New Roman" w:hAnsi="Times New Roman" w:eastAsia="DFKai-SB" w:cstheme="majorBidi"/>
      <w:b/>
      <w:bCs/>
      <w:sz w:val="24"/>
      <w:szCs w:val="26"/>
    </w:rPr>
  </w:style>
  <w:style w:type="character" w:customStyle="1" w:styleId="70">
    <w:name w:val="标题 3 字符"/>
    <w:basedOn w:val="38"/>
    <w:link w:val="4"/>
    <w:semiHidden/>
    <w:qFormat/>
    <w:uiPriority w:val="9"/>
    <w:rPr>
      <w:rFonts w:ascii="Times New Roman" w:hAnsi="Times New Roman" w:eastAsia="DFKai-SB" w:cstheme="majorBidi"/>
      <w:bCs/>
      <w:sz w:val="24"/>
      <w:szCs w:val="24"/>
    </w:rPr>
  </w:style>
  <w:style w:type="character" w:customStyle="1" w:styleId="71">
    <w:name w:val="标题 4 字符"/>
    <w:basedOn w:val="38"/>
    <w:link w:val="5"/>
    <w:semiHidden/>
    <w:qFormat/>
    <w:uiPriority w:val="9"/>
    <w:rPr>
      <w:rFonts w:ascii="Times New Roman" w:hAnsi="Times New Roman" w:eastAsia="DFKai-SB" w:cstheme="majorBidi"/>
      <w:bCs/>
      <w:iCs/>
      <w:sz w:val="24"/>
      <w:szCs w:val="24"/>
    </w:rPr>
  </w:style>
  <w:style w:type="character" w:customStyle="1" w:styleId="72">
    <w:name w:val="标题 5 字符"/>
    <w:basedOn w:val="38"/>
    <w:link w:val="6"/>
    <w:semiHidden/>
    <w:qFormat/>
    <w:uiPriority w:val="9"/>
    <w:rPr>
      <w:rFonts w:ascii="Times New Roman" w:hAnsi="Times New Roman" w:eastAsia="DFKai-SB" w:cstheme="majorBidi"/>
      <w:sz w:val="24"/>
      <w:szCs w:val="24"/>
    </w:rPr>
  </w:style>
  <w:style w:type="character" w:customStyle="1" w:styleId="73">
    <w:name w:val="标题 6 字符"/>
    <w:basedOn w:val="38"/>
    <w:link w:val="7"/>
    <w:semiHidden/>
    <w:qFormat/>
    <w:uiPriority w:val="9"/>
    <w:rPr>
      <w:rFonts w:ascii="Times New Roman" w:hAnsi="Times New Roman" w:eastAsia="DFKai-SB" w:cstheme="majorBidi"/>
      <w:iCs/>
      <w:sz w:val="24"/>
      <w:szCs w:val="24"/>
    </w:rPr>
  </w:style>
  <w:style w:type="character" w:customStyle="1" w:styleId="74">
    <w:name w:val="标题 7 字符"/>
    <w:basedOn w:val="38"/>
    <w:link w:val="8"/>
    <w:semiHidden/>
    <w:qFormat/>
    <w:uiPriority w:val="9"/>
    <w:rPr>
      <w:rFonts w:ascii="Times New Roman" w:hAnsi="Times New Roman" w:eastAsia="DFKai-SB" w:cstheme="majorBidi"/>
      <w:iCs/>
      <w:sz w:val="24"/>
      <w:szCs w:val="24"/>
    </w:rPr>
  </w:style>
  <w:style w:type="character" w:customStyle="1" w:styleId="75">
    <w:name w:val="标题 8 字符"/>
    <w:basedOn w:val="38"/>
    <w:link w:val="9"/>
    <w:semiHidden/>
    <w:qFormat/>
    <w:uiPriority w:val="9"/>
    <w:rPr>
      <w:rFonts w:ascii="Times New Roman" w:hAnsi="Times New Roman" w:eastAsia="DFKai-SB" w:cstheme="majorBidi"/>
      <w:sz w:val="24"/>
      <w:szCs w:val="20"/>
    </w:rPr>
  </w:style>
  <w:style w:type="character" w:customStyle="1" w:styleId="76">
    <w:name w:val="标题 9 字符"/>
    <w:basedOn w:val="38"/>
    <w:link w:val="10"/>
    <w:semiHidden/>
    <w:qFormat/>
    <w:uiPriority w:val="9"/>
    <w:rPr>
      <w:rFonts w:ascii="Times New Roman" w:hAnsi="Times New Roman" w:eastAsia="DFKai-SB" w:cstheme="majorBidi"/>
      <w:iCs/>
      <w:sz w:val="24"/>
      <w:szCs w:val="20"/>
    </w:rPr>
  </w:style>
  <w:style w:type="paragraph" w:customStyle="1" w:styleId="77">
    <w:name w:val="Notice Block"/>
    <w:basedOn w:val="1"/>
    <w:qFormat/>
    <w:uiPriority w:val="3"/>
    <w:pPr>
      <w:keepLines/>
      <w:spacing w:after="240"/>
      <w:ind w:left="720" w:hanging="720"/>
    </w:pPr>
  </w:style>
  <w:style w:type="paragraph" w:customStyle="1" w:styleId="78">
    <w:name w:val="Notice Block Indent 1"/>
    <w:basedOn w:val="1"/>
    <w:qFormat/>
    <w:uiPriority w:val="3"/>
    <w:pPr>
      <w:keepLines/>
      <w:spacing w:after="240"/>
      <w:ind w:left="1440" w:hanging="720"/>
    </w:pPr>
  </w:style>
  <w:style w:type="paragraph" w:styleId="79">
    <w:name w:val="Quote"/>
    <w:basedOn w:val="1"/>
    <w:link w:val="80"/>
    <w:qFormat/>
    <w:uiPriority w:val="0"/>
    <w:pPr>
      <w:spacing w:after="240"/>
      <w:ind w:left="1440" w:right="1440"/>
    </w:pPr>
    <w:rPr>
      <w:iCs/>
    </w:rPr>
  </w:style>
  <w:style w:type="character" w:customStyle="1" w:styleId="80">
    <w:name w:val="引用 字符"/>
    <w:basedOn w:val="38"/>
    <w:link w:val="79"/>
    <w:qFormat/>
    <w:uiPriority w:val="0"/>
    <w:rPr>
      <w:rFonts w:ascii="Times New Roman" w:hAnsi="Times New Roman" w:eastAsia="DFKai-SB" w:cs="Times New Roman"/>
      <w:iCs/>
      <w:sz w:val="24"/>
      <w:szCs w:val="24"/>
    </w:rPr>
  </w:style>
  <w:style w:type="character" w:customStyle="1" w:styleId="81">
    <w:name w:val="称呼 字符"/>
    <w:basedOn w:val="38"/>
    <w:link w:val="14"/>
    <w:semiHidden/>
    <w:qFormat/>
    <w:uiPriority w:val="99"/>
    <w:rPr>
      <w:rFonts w:ascii="Times New Roman" w:hAnsi="Times New Roman" w:eastAsia="DFKai-SB" w:cs="Times New Roman"/>
      <w:sz w:val="24"/>
      <w:szCs w:val="24"/>
    </w:rPr>
  </w:style>
  <w:style w:type="paragraph" w:customStyle="1" w:styleId="82">
    <w:name w:val="Signature ByLine"/>
    <w:basedOn w:val="18"/>
    <w:qFormat/>
    <w:uiPriority w:val="3"/>
    <w:pPr>
      <w:tabs>
        <w:tab w:val="left" w:leader="underscore" w:pos="9360"/>
      </w:tabs>
    </w:pPr>
  </w:style>
  <w:style w:type="character" w:customStyle="1" w:styleId="83">
    <w:name w:val="副标题 字符"/>
    <w:basedOn w:val="38"/>
    <w:link w:val="27"/>
    <w:qFormat/>
    <w:uiPriority w:val="0"/>
    <w:rPr>
      <w:rFonts w:ascii="Times New Roman" w:hAnsi="Times New Roman" w:eastAsia="DFKai-SB" w:cs="Times New Roman"/>
      <w:b/>
      <w:iCs/>
      <w:sz w:val="24"/>
      <w:szCs w:val="24"/>
    </w:rPr>
  </w:style>
  <w:style w:type="paragraph" w:customStyle="1" w:styleId="84">
    <w:name w:val="Subtitle Left"/>
    <w:basedOn w:val="1"/>
    <w:next w:val="28"/>
    <w:qFormat/>
    <w:uiPriority w:val="0"/>
    <w:pPr>
      <w:keepNext/>
      <w:spacing w:after="240"/>
      <w:contextualSpacing/>
    </w:pPr>
    <w:rPr>
      <w:b/>
    </w:rPr>
  </w:style>
  <w:style w:type="character" w:customStyle="1" w:styleId="85">
    <w:name w:val="标题 字符"/>
    <w:basedOn w:val="38"/>
    <w:link w:val="32"/>
    <w:qFormat/>
    <w:uiPriority w:val="0"/>
    <w:rPr>
      <w:rFonts w:ascii="Times New Roman" w:hAnsi="Times New Roman" w:eastAsia="DFKai-SB" w:cs="Times New Roman"/>
      <w:b/>
      <w:caps/>
      <w:sz w:val="24"/>
      <w:szCs w:val="52"/>
    </w:rPr>
  </w:style>
  <w:style w:type="paragraph" w:customStyle="1" w:styleId="86">
    <w:name w:val="Title Left"/>
    <w:basedOn w:val="1"/>
    <w:next w:val="28"/>
    <w:qFormat/>
    <w:uiPriority w:val="0"/>
    <w:pPr>
      <w:spacing w:after="240"/>
      <w:contextualSpacing/>
    </w:pPr>
    <w:rPr>
      <w:b/>
      <w:caps/>
    </w:rPr>
  </w:style>
  <w:style w:type="paragraph" w:customStyle="1" w:styleId="87">
    <w:name w:val="TOC Heading"/>
    <w:basedOn w:val="1"/>
    <w:next w:val="1"/>
    <w:semiHidden/>
    <w:unhideWhenUsed/>
    <w:qFormat/>
    <w:uiPriority w:val="39"/>
    <w:pPr>
      <w:spacing w:after="240"/>
      <w:jc w:val="center"/>
    </w:pPr>
    <w:rPr>
      <w:b/>
      <w:caps/>
    </w:rPr>
  </w:style>
  <w:style w:type="character" w:customStyle="1" w:styleId="88">
    <w:name w:val="FooterRightSideText"/>
    <w:basedOn w:val="38"/>
    <w:qFormat/>
    <w:uiPriority w:val="0"/>
  </w:style>
  <w:style w:type="character" w:customStyle="1" w:styleId="89">
    <w:name w:val="iManage Footer"/>
    <w:qFormat/>
    <w:uiPriority w:val="0"/>
    <w:rPr>
      <w:sz w:val="16"/>
    </w:rPr>
  </w:style>
  <w:style w:type="paragraph" w:customStyle="1" w:styleId="90">
    <w:name w:val="DocId"/>
    <w:basedOn w:val="25"/>
    <w:qFormat/>
    <w:uiPriority w:val="0"/>
    <w:rPr>
      <w:rFonts w:eastAsia="宋体"/>
      <w:kern w:val="0"/>
      <w:sz w:val="16"/>
      <w:szCs w:val="16"/>
    </w:rPr>
  </w:style>
  <w:style w:type="paragraph" w:customStyle="1" w:styleId="91">
    <w:name w:val="BRMemo1_L2"/>
    <w:basedOn w:val="1"/>
    <w:next w:val="1"/>
    <w:qFormat/>
    <w:uiPriority w:val="0"/>
    <w:pPr>
      <w:keepNext/>
      <w:numPr>
        <w:ilvl w:val="1"/>
        <w:numId w:val="1"/>
      </w:numPr>
      <w:spacing w:before="360" w:after="240" w:line="264" w:lineRule="auto"/>
      <w:jc w:val="both"/>
      <w:outlineLvl w:val="1"/>
    </w:pPr>
    <w:rPr>
      <w:rFonts w:eastAsia="宋体"/>
      <w:b/>
      <w:smallCaps/>
      <w:kern w:val="0"/>
      <w:szCs w:val="20"/>
      <w:u w:val="single"/>
    </w:rPr>
  </w:style>
  <w:style w:type="paragraph" w:customStyle="1" w:styleId="92">
    <w:name w:val="BRMemo1_L3"/>
    <w:basedOn w:val="91"/>
    <w:next w:val="1"/>
    <w:qFormat/>
    <w:uiPriority w:val="0"/>
    <w:pPr>
      <w:numPr>
        <w:ilvl w:val="2"/>
      </w:numPr>
      <w:spacing w:before="120"/>
      <w:outlineLvl w:val="2"/>
    </w:pPr>
    <w:rPr>
      <w:smallCaps w:val="0"/>
    </w:rPr>
  </w:style>
  <w:style w:type="paragraph" w:customStyle="1" w:styleId="93">
    <w:name w:val="BRMemo1_L4"/>
    <w:basedOn w:val="92"/>
    <w:next w:val="1"/>
    <w:qFormat/>
    <w:uiPriority w:val="0"/>
    <w:pPr>
      <w:numPr>
        <w:ilvl w:val="3"/>
      </w:numPr>
      <w:outlineLvl w:val="3"/>
    </w:pPr>
    <w:rPr>
      <w:i/>
    </w:rPr>
  </w:style>
  <w:style w:type="paragraph" w:customStyle="1" w:styleId="94">
    <w:name w:val="BRMemo1_L5"/>
    <w:basedOn w:val="93"/>
    <w:next w:val="1"/>
    <w:qFormat/>
    <w:uiPriority w:val="0"/>
    <w:pPr>
      <w:numPr>
        <w:ilvl w:val="4"/>
      </w:numPr>
      <w:outlineLvl w:val="4"/>
    </w:pPr>
    <w:rPr>
      <w:b w:val="0"/>
      <w:i w:val="0"/>
    </w:rPr>
  </w:style>
  <w:style w:type="paragraph" w:styleId="95">
    <w:name w:val="List Paragraph"/>
    <w:basedOn w:val="1"/>
    <w:link w:val="99"/>
    <w:qFormat/>
    <w:uiPriority w:val="34"/>
    <w:pPr>
      <w:ind w:firstLine="420" w:firstLineChars="200"/>
    </w:pPr>
  </w:style>
  <w:style w:type="character" w:customStyle="1" w:styleId="96">
    <w:name w:val="批注文字 字符"/>
    <w:basedOn w:val="38"/>
    <w:link w:val="13"/>
    <w:qFormat/>
    <w:uiPriority w:val="99"/>
    <w:rPr>
      <w:rFonts w:ascii="Times New Roman" w:hAnsi="Times New Roman" w:eastAsia="DFKai-SB" w:cs="Times New Roman"/>
      <w:sz w:val="24"/>
      <w:szCs w:val="24"/>
    </w:rPr>
  </w:style>
  <w:style w:type="character" w:customStyle="1" w:styleId="97">
    <w:name w:val="批注主题 字符"/>
    <w:basedOn w:val="96"/>
    <w:link w:val="33"/>
    <w:semiHidden/>
    <w:qFormat/>
    <w:uiPriority w:val="99"/>
    <w:rPr>
      <w:rFonts w:ascii="Times New Roman" w:hAnsi="Times New Roman" w:eastAsia="DFKai-SB" w:cs="Times New Roman"/>
      <w:b/>
      <w:bCs/>
      <w:sz w:val="24"/>
      <w:szCs w:val="24"/>
    </w:rPr>
  </w:style>
  <w:style w:type="paragraph" w:customStyle="1" w:styleId="98">
    <w:name w:val="Revision"/>
    <w:hidden/>
    <w:semiHidden/>
    <w:qFormat/>
    <w:uiPriority w:val="99"/>
    <w:pPr>
      <w:spacing w:after="0" w:line="240" w:lineRule="auto"/>
    </w:pPr>
    <w:rPr>
      <w:rFonts w:ascii="Times New Roman" w:hAnsi="Times New Roman" w:eastAsia="DFKai-SB" w:cs="Times New Roman"/>
      <w:kern w:val="2"/>
      <w:sz w:val="24"/>
      <w:szCs w:val="24"/>
      <w:lang w:val="en-US" w:eastAsia="en-US" w:bidi="ar-SA"/>
      <w14:ligatures w14:val="standardContextual"/>
    </w:rPr>
  </w:style>
  <w:style w:type="character" w:customStyle="1" w:styleId="99">
    <w:name w:val="列表段落 字符"/>
    <w:link w:val="95"/>
    <w:qFormat/>
    <w:locked/>
    <w:uiPriority w:val="34"/>
    <w:rPr>
      <w:rFonts w:ascii="Times New Roman" w:hAnsi="Times New Roman" w:eastAsia="DFKai-SB"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418</Words>
  <Characters>2383</Characters>
  <Lines>19</Lines>
  <Paragraphs>5</Paragraphs>
  <TotalTime>1</TotalTime>
  <ScaleCrop>false</ScaleCrop>
  <LinksUpToDate>false</LinksUpToDate>
  <CharactersWithSpaces>2796</CharactersWithSpaces>
  <Application>WPS Office_11.8.2.10552_F1E327BC-269C-435d-A152-05C5408002CA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1900-01-01T13:00:00Z</dcterms:created>
  <cp:lastModifiedBy>oa</cp:lastModifiedBy>
  <dcterms:modified xsi:type="dcterms:W3CDTF">2025-06-25T10:17:36Z</dcterms:modified>
  <dc:title>关于全日空控股株式会社收购日本货物航空株式会社股权案的</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2052-11.8.2.10552</vt:lpwstr>
  </property>
</Properties>
</file>