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255"/>
          <w:numId w:val="0"/>
        </w:numPr>
        <w:snapToGrid w:val="0"/>
        <w:spacing w:after="0" w:line="594" w:lineRule="exact"/>
        <w:jc w:val="center"/>
        <w:rPr>
          <w:rFonts w:hint="eastAsia" w:ascii="方正小标宋简体" w:hAnsi="方正小标宋简体" w:eastAsia="方正小标宋简体" w:cs="方正小标宋简体"/>
          <w:color w:val="auto"/>
          <w:sz w:val="44"/>
          <w:szCs w:val="44"/>
        </w:rPr>
      </w:pPr>
      <w:bookmarkStart w:id="0" w:name="_Toc367661243"/>
      <w:bookmarkStart w:id="1" w:name="_Toc1472469963"/>
      <w:bookmarkStart w:id="2" w:name="_Toc32135"/>
    </w:p>
    <w:p>
      <w:pPr>
        <w:numPr>
          <w:ilvl w:val="255"/>
          <w:numId w:val="0"/>
        </w:numPr>
        <w:snapToGrid w:val="0"/>
        <w:spacing w:after="0" w:line="594" w:lineRule="exact"/>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关于药品领域的反垄断指南</w:t>
      </w:r>
    </w:p>
    <w:p>
      <w:pPr>
        <w:numPr>
          <w:ilvl w:val="255"/>
          <w:numId w:val="0"/>
        </w:numPr>
        <w:snapToGrid w:val="0"/>
        <w:spacing w:after="0" w:line="594" w:lineRule="exact"/>
        <w:jc w:val="center"/>
        <w:rPr>
          <w:rFonts w:ascii="楷体" w:hAnsi="楷体" w:eastAsia="楷体" w:cs="楷体"/>
          <w:color w:val="auto"/>
          <w:sz w:val="32"/>
          <w:szCs w:val="32"/>
        </w:rPr>
      </w:pPr>
      <w:r>
        <w:rPr>
          <w:rFonts w:hint="eastAsia" w:ascii="楷体" w:hAnsi="楷体" w:eastAsia="楷体" w:cs="楷体"/>
          <w:color w:val="auto"/>
          <w:sz w:val="32"/>
          <w:szCs w:val="32"/>
        </w:rPr>
        <w:t>（</w:t>
      </w:r>
      <w:r>
        <w:rPr>
          <w:rFonts w:hint="eastAsia" w:ascii="楷体" w:hAnsi="楷体" w:eastAsia="楷体" w:cs="楷体"/>
          <w:color w:val="auto"/>
          <w:sz w:val="32"/>
          <w:szCs w:val="32"/>
          <w:lang w:eastAsia="zh-CN"/>
        </w:rPr>
        <w:t>征求意见稿</w:t>
      </w:r>
      <w:r>
        <w:rPr>
          <w:rFonts w:hint="eastAsia" w:ascii="楷体" w:hAnsi="楷体" w:eastAsia="楷体" w:cs="楷体"/>
          <w:color w:val="auto"/>
          <w:sz w:val="32"/>
          <w:szCs w:val="32"/>
        </w:rPr>
        <w:t>）</w:t>
      </w:r>
    </w:p>
    <w:p>
      <w:pPr>
        <w:snapToGrid w:val="0"/>
        <w:spacing w:after="0" w:line="594" w:lineRule="exact"/>
        <w:ind w:firstLine="640"/>
        <w:jc w:val="both"/>
        <w:rPr>
          <w:rStyle w:val="15"/>
          <w:rFonts w:ascii="仿宋" w:hAnsi="仿宋" w:eastAsia="仿宋"/>
          <w:color w:val="auto"/>
          <w:sz w:val="32"/>
          <w:szCs w:val="32"/>
        </w:rPr>
      </w:pPr>
      <w:bookmarkStart w:id="169" w:name="_GoBack"/>
      <w:bookmarkEnd w:id="169"/>
    </w:p>
    <w:p>
      <w:pPr>
        <w:pStyle w:val="4"/>
        <w:snapToGrid w:val="0"/>
        <w:spacing w:before="0" w:after="0" w:line="594" w:lineRule="exact"/>
        <w:ind w:firstLine="0" w:firstLineChars="0"/>
        <w:jc w:val="center"/>
        <w:rPr>
          <w:rFonts w:ascii="黑体" w:hAnsi="黑体" w:eastAsia="黑体" w:cs="黑体"/>
          <w:b w:val="0"/>
          <w:bCs/>
          <w:color w:val="auto"/>
          <w:sz w:val="32"/>
          <w:szCs w:val="32"/>
        </w:rPr>
      </w:pPr>
      <w:bookmarkStart w:id="3" w:name="_Toc663"/>
      <w:bookmarkStart w:id="4" w:name="_Toc723608658"/>
      <w:bookmarkStart w:id="5" w:name="_Toc921074339"/>
      <w:r>
        <w:rPr>
          <w:rFonts w:hint="eastAsia" w:ascii="黑体" w:hAnsi="黑体" w:eastAsia="黑体" w:cs="黑体"/>
          <w:b w:val="0"/>
          <w:bCs/>
          <w:color w:val="auto"/>
          <w:sz w:val="32"/>
          <w:szCs w:val="32"/>
        </w:rPr>
        <w:t>第一章 总则</w:t>
      </w:r>
      <w:bookmarkEnd w:id="3"/>
      <w:bookmarkEnd w:id="4"/>
      <w:bookmarkEnd w:id="5"/>
    </w:p>
    <w:p>
      <w:pPr>
        <w:snapToGrid w:val="0"/>
        <w:spacing w:after="0" w:line="594" w:lineRule="exact"/>
        <w:jc w:val="both"/>
        <w:rPr>
          <w:color w:val="auto"/>
        </w:rPr>
      </w:pPr>
    </w:p>
    <w:p>
      <w:pPr>
        <w:pStyle w:val="4"/>
        <w:snapToGrid w:val="0"/>
        <w:spacing w:before="0" w:after="0" w:line="594" w:lineRule="exact"/>
        <w:ind w:firstLine="640"/>
        <w:jc w:val="both"/>
        <w:rPr>
          <w:rFonts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第一条  目的和依据</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为了预防和制止药品领域垄断行为，引导经营者加强反垄断合规，维护药品领域公平竞争市场秩序，鼓励创新，保护消费者利益和社会公共利益，根据《中华人民共和国反垄断法》（以下简称《反垄断法》）等法律规定，制定本指南。</w:t>
      </w:r>
    </w:p>
    <w:p>
      <w:pPr>
        <w:pStyle w:val="4"/>
        <w:snapToGrid w:val="0"/>
        <w:spacing w:before="0" w:after="0" w:line="594" w:lineRule="exact"/>
        <w:ind w:firstLine="640"/>
        <w:jc w:val="both"/>
        <w:rPr>
          <w:rFonts w:ascii="黑体" w:hAnsi="黑体" w:eastAsia="黑体" w:cs="黑体"/>
          <w:b w:val="0"/>
          <w:bCs/>
          <w:color w:val="auto"/>
          <w:sz w:val="32"/>
          <w:szCs w:val="32"/>
        </w:rPr>
      </w:pPr>
      <w:bookmarkStart w:id="6" w:name="_Toc10169"/>
      <w:bookmarkStart w:id="7" w:name="_Toc574428004"/>
      <w:bookmarkStart w:id="8" w:name="_Toc494977842"/>
      <w:bookmarkStart w:id="9" w:name="_Toc761422188"/>
      <w:r>
        <w:rPr>
          <w:rFonts w:hint="eastAsia" w:ascii="黑体" w:hAnsi="黑体" w:eastAsia="黑体" w:cs="黑体"/>
          <w:b w:val="0"/>
          <w:bCs/>
          <w:color w:val="auto"/>
          <w:sz w:val="32"/>
          <w:szCs w:val="32"/>
        </w:rPr>
        <w:t>第二条  相关概念</w:t>
      </w:r>
      <w:bookmarkEnd w:id="6"/>
      <w:bookmarkEnd w:id="7"/>
      <w:bookmarkEnd w:id="8"/>
      <w:bookmarkEnd w:id="9"/>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药品，是指用于预防、治疗、诊断人的疾病，有目的地调节人的生理机能并规定有适应症或者功能主治、用法和用量的物质，包括中药、化学药和生物制品等。本指南所称中药包括中药材、中药饮片、中药提取物、中药配方颗粒和中成药等；化学药包括化学原料药和</w:t>
      </w:r>
      <w:r>
        <w:rPr>
          <w:rFonts w:hint="eastAsia" w:ascii="仿宋_GB2312" w:hAnsi="仿宋_GB2312" w:eastAsia="仿宋_GB2312" w:cs="仿宋_GB2312"/>
          <w:color w:val="auto"/>
          <w:sz w:val="32"/>
          <w:szCs w:val="32"/>
          <w:lang w:eastAsia="zh"/>
        </w:rPr>
        <w:t>化学药</w:t>
      </w:r>
      <w:r>
        <w:rPr>
          <w:rFonts w:hint="eastAsia" w:ascii="仿宋_GB2312" w:hAnsi="仿宋_GB2312" w:eastAsia="仿宋_GB2312" w:cs="仿宋_GB2312"/>
          <w:color w:val="auto"/>
          <w:sz w:val="32"/>
          <w:szCs w:val="32"/>
        </w:rPr>
        <w:t>制剂；生物制品包括预防用生物制品、治疗用生物制品和按生物制品管理的诊断试剂。</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（二）化学原料药（以下简称原料药），是指符合药品管理相关法律法规要求、用于生产各类化学药制剂的原材料，是化学</w:t>
      </w:r>
      <w:r>
        <w:rPr>
          <w:rFonts w:hint="eastAsia" w:ascii="仿宋_GB2312" w:hAnsi="仿宋_GB2312" w:eastAsia="仿宋_GB2312" w:cs="仿宋_GB2312"/>
          <w:color w:val="auto"/>
          <w:sz w:val="32"/>
          <w:szCs w:val="32"/>
          <w:lang w:eastAsia="zh"/>
        </w:rPr>
        <w:t>药</w:t>
      </w:r>
      <w:r>
        <w:rPr>
          <w:rFonts w:hint="eastAsia" w:ascii="仿宋_GB2312" w:hAnsi="仿宋_GB2312" w:eastAsia="仿宋_GB2312" w:cs="仿宋_GB2312"/>
          <w:color w:val="auto"/>
          <w:sz w:val="32"/>
          <w:szCs w:val="32"/>
        </w:rPr>
        <w:t>制剂中的有效成份。</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w:t>
      </w:r>
      <w:r>
        <w:rPr>
          <w:rFonts w:hint="eastAsia" w:ascii="仿宋_GB2312" w:hAnsi="仿宋_GB2312" w:eastAsia="仿宋_GB2312" w:cs="仿宋_GB2312"/>
          <w:color w:val="auto"/>
          <w:sz w:val="32"/>
          <w:szCs w:val="32"/>
          <w:lang w:eastAsia="zh"/>
        </w:rPr>
        <w:t>化学药</w:t>
      </w:r>
      <w:r>
        <w:rPr>
          <w:rFonts w:hint="eastAsia" w:ascii="仿宋_GB2312" w:hAnsi="仿宋_GB2312" w:eastAsia="仿宋_GB2312" w:cs="仿宋_GB2312"/>
          <w:color w:val="auto"/>
          <w:sz w:val="32"/>
          <w:szCs w:val="32"/>
        </w:rPr>
        <w:t>制剂，是指符合药品管理相关法律法规要求、直接用于人体疾病防治或者诊断的化学药品。</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（四）药品经营者，是指经相关监督管理部门批准，从事药品生产、经营的自然人、法人和非法人组织。境外药品上市许可持有人依法指定的中国境内代理人、从事经营活动的药品研制机构，视同药品经营者。</w:t>
      </w:r>
    </w:p>
    <w:p>
      <w:pPr>
        <w:pStyle w:val="4"/>
        <w:snapToGrid w:val="0"/>
        <w:spacing w:before="0" w:after="0" w:line="594" w:lineRule="exact"/>
        <w:ind w:firstLine="640"/>
        <w:jc w:val="both"/>
        <w:rPr>
          <w:rFonts w:ascii="黑体" w:hAnsi="黑体" w:eastAsia="黑体" w:cs="黑体"/>
          <w:b w:val="0"/>
          <w:bCs/>
          <w:color w:val="auto"/>
          <w:sz w:val="32"/>
          <w:szCs w:val="32"/>
        </w:rPr>
      </w:pPr>
      <w:r>
        <w:rPr>
          <w:rFonts w:hint="eastAsia" w:ascii="黑体" w:hAnsi="黑体" w:eastAsia="黑体" w:cs="黑体"/>
          <w:b w:val="0"/>
          <w:bCs/>
          <w:color w:val="auto"/>
          <w:sz w:val="32"/>
          <w:szCs w:val="32"/>
        </w:rPr>
        <w:t>第三条  基本原则</w:t>
      </w:r>
      <w:bookmarkEnd w:id="0"/>
      <w:bookmarkEnd w:id="1"/>
      <w:bookmarkEnd w:id="2"/>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反垄断执法机构开展药品领域反垄断监管执法坚持以下原则：</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（一）保护市场公平竞争。坚持监管规范和促进发展并重，平等对待</w:t>
      </w:r>
      <w:r>
        <w:rPr>
          <w:rFonts w:hint="eastAsia" w:ascii="仿宋_GB2312" w:hAnsi="仿宋_GB2312" w:eastAsia="仿宋_GB2312" w:cs="仿宋_GB2312"/>
          <w:color w:val="auto"/>
          <w:sz w:val="32"/>
          <w:szCs w:val="32"/>
          <w:lang w:eastAsia="zh-CN"/>
        </w:rPr>
        <w:t>各类</w:t>
      </w:r>
      <w:r>
        <w:rPr>
          <w:rFonts w:hint="eastAsia" w:ascii="仿宋_GB2312" w:hAnsi="仿宋_GB2312" w:eastAsia="仿宋_GB2312" w:cs="仿宋_GB2312"/>
          <w:color w:val="auto"/>
          <w:sz w:val="32"/>
          <w:szCs w:val="32"/>
        </w:rPr>
        <w:t>药品经营者，着力预防和制止药品领域垄断行为，维护市场公平竞争秩序。</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（二）维护消费者利益。严厉打击药品领域各种类型的垄断行为，促进药品经营者依法合规经营，保障药品稳定、有效供应，减轻消费者用药负担，维护消费者利益，增进民生福祉。</w:t>
      </w:r>
    </w:p>
    <w:p>
      <w:pPr>
        <w:snapToGrid w:val="0"/>
        <w:spacing w:after="0" w:line="594" w:lineRule="exact"/>
        <w:ind w:firstLine="480" w:firstLineChars="0"/>
        <w:jc w:val="both"/>
        <w:rPr>
          <w:rFonts w:ascii="仿宋_GB2312" w:hAnsi="仿宋_GB2312" w:eastAsia="仿宋" w:cs="仿宋_GB2312"/>
          <w:color w:val="auto"/>
          <w:sz w:val="32"/>
          <w:szCs w:val="32"/>
        </w:rPr>
      </w:pPr>
      <w:r>
        <w:rPr>
          <w:rFonts w:hint="eastAsia" w:ascii="仿宋_GB2312" w:hAnsi="仿宋_GB2312" w:eastAsia="仿宋_GB2312" w:cs="仿宋_GB2312"/>
          <w:color w:val="auto"/>
          <w:sz w:val="32"/>
          <w:szCs w:val="32"/>
        </w:rPr>
        <w:t>（三）激发创新发展活力。支持药品经营者创新发展和依法行使知识产权，有效规制滥用知识产权排除、限制竞争行为，鼓励药品研发创新、技术改进和质量提升。</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（四）坚持科学高效监管。深入把握药品领域特点和市场竞争规律，强化竞争分析和法律论证，完善反垄断事前事中事后全链条监管，增强执法针对性、科学性、有效性，不断提升监管效能。</w:t>
      </w:r>
    </w:p>
    <w:p>
      <w:pPr>
        <w:snapToGrid w:val="0"/>
        <w:spacing w:after="0" w:line="594" w:lineRule="exact"/>
        <w:ind w:firstLine="64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（五）持续强化法律威慑。加大药品领域反垄断监管执法力度，对严重破坏市场公平竞争、损害消费者利益或者社会公共利益、妨碍创新发展的垄断行为，依法从重作出处理，促进药品行业规范健康发展。</w:t>
      </w:r>
    </w:p>
    <w:p>
      <w:pPr>
        <w:pStyle w:val="4"/>
        <w:snapToGrid w:val="0"/>
        <w:spacing w:before="0" w:after="0" w:line="594" w:lineRule="exact"/>
        <w:ind w:firstLine="640"/>
        <w:jc w:val="both"/>
        <w:rPr>
          <w:rFonts w:ascii="黑体" w:hAnsi="黑体" w:eastAsia="黑体" w:cs="黑体"/>
          <w:b w:val="0"/>
          <w:bCs/>
          <w:color w:val="auto"/>
          <w:sz w:val="32"/>
          <w:szCs w:val="32"/>
        </w:rPr>
      </w:pPr>
      <w:bookmarkStart w:id="10" w:name="_Toc201120113"/>
      <w:bookmarkStart w:id="11" w:name="_Toc972058682"/>
      <w:bookmarkStart w:id="12" w:name="_Toc20155"/>
      <w:r>
        <w:rPr>
          <w:rFonts w:hint="eastAsia" w:ascii="黑体" w:hAnsi="黑体" w:eastAsia="黑体" w:cs="黑体"/>
          <w:b w:val="0"/>
          <w:bCs/>
          <w:color w:val="auto"/>
          <w:sz w:val="32"/>
          <w:szCs w:val="32"/>
        </w:rPr>
        <w:t>第四条  药品网络销售的一般规定</w:t>
      </w:r>
      <w:bookmarkEnd w:id="10"/>
      <w:bookmarkEnd w:id="11"/>
      <w:bookmarkEnd w:id="12"/>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从事药品网络销售、提供药品网络交易平台服务的经营者，应当遵守《反垄断法》规定，不得利用数据和算法、技术、资本优势以及平台规则等从事垄断行为。</w:t>
      </w:r>
    </w:p>
    <w:p>
      <w:pPr>
        <w:pStyle w:val="4"/>
        <w:snapToGrid w:val="0"/>
        <w:spacing w:before="0" w:after="0" w:line="594" w:lineRule="exact"/>
        <w:ind w:firstLine="640"/>
        <w:jc w:val="both"/>
        <w:rPr>
          <w:rFonts w:ascii="黑体" w:hAnsi="黑体" w:eastAsia="黑体" w:cs="黑体"/>
          <w:b w:val="0"/>
          <w:bCs/>
          <w:color w:val="auto"/>
          <w:sz w:val="32"/>
          <w:szCs w:val="32"/>
        </w:rPr>
      </w:pPr>
      <w:bookmarkStart w:id="13" w:name="_Toc18337"/>
      <w:bookmarkStart w:id="14" w:name="_Toc1313324874"/>
      <w:bookmarkStart w:id="15" w:name="_Toc2095173962"/>
      <w:bookmarkStart w:id="16" w:name="_Toc1750464719"/>
      <w:bookmarkStart w:id="17" w:name="_Toc159414472"/>
      <w:r>
        <w:rPr>
          <w:rFonts w:hint="eastAsia" w:ascii="黑体" w:hAnsi="黑体" w:eastAsia="黑体" w:cs="黑体"/>
          <w:b w:val="0"/>
          <w:bCs/>
          <w:color w:val="auto"/>
          <w:sz w:val="32"/>
          <w:szCs w:val="32"/>
        </w:rPr>
        <w:t>第五条  反垄断合规</w:t>
      </w:r>
      <w:bookmarkEnd w:id="13"/>
      <w:bookmarkEnd w:id="14"/>
      <w:bookmarkEnd w:id="15"/>
      <w:bookmarkEnd w:id="16"/>
      <w:bookmarkEnd w:id="17"/>
    </w:p>
    <w:p>
      <w:pPr>
        <w:widowControl/>
        <w:adjustRightInd w:val="0"/>
        <w:snapToGrid w:val="0"/>
        <w:spacing w:after="0" w:line="594" w:lineRule="exact"/>
        <w:ind w:firstLine="640"/>
        <w:jc w:val="both"/>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lang w:bidi="ar"/>
        </w:rPr>
        <w:t>鼓励和支持药品经营者加强反垄断合规，建立健全反垄断合规管理制度，有效识别潜在和现实的反垄断法律风险，并采取相应的预防和处置措施。</w:t>
      </w:r>
    </w:p>
    <w:p>
      <w:pPr>
        <w:adjustRightInd w:val="0"/>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药品领域行业协会应当加强行业自律，通过竞争倡导、合规指引等方式，引导药品经营者依法竞争、合规经营，维护良好市场竞争秩序。</w:t>
      </w:r>
    </w:p>
    <w:p>
      <w:pPr>
        <w:pStyle w:val="4"/>
        <w:snapToGrid w:val="0"/>
        <w:spacing w:before="0" w:after="0" w:line="594" w:lineRule="exact"/>
        <w:ind w:firstLine="640"/>
        <w:jc w:val="both"/>
        <w:rPr>
          <w:rFonts w:ascii="黑体" w:hAnsi="黑体" w:eastAsia="黑体" w:cs="黑体"/>
          <w:b w:val="0"/>
          <w:bCs/>
          <w:color w:val="auto"/>
          <w:sz w:val="32"/>
          <w:szCs w:val="32"/>
        </w:rPr>
      </w:pPr>
      <w:bookmarkStart w:id="18" w:name="_Toc13304"/>
      <w:bookmarkStart w:id="19" w:name="_Toc86478813"/>
      <w:bookmarkStart w:id="20" w:name="_Toc1482165645"/>
      <w:r>
        <w:rPr>
          <w:rFonts w:hint="eastAsia" w:ascii="黑体" w:hAnsi="黑体" w:eastAsia="黑体" w:cs="黑体"/>
          <w:b w:val="0"/>
          <w:bCs/>
          <w:color w:val="auto"/>
          <w:sz w:val="32"/>
          <w:szCs w:val="32"/>
        </w:rPr>
        <w:t>第六条  相关市场界定</w:t>
      </w:r>
      <w:bookmarkEnd w:id="18"/>
      <w:bookmarkEnd w:id="19"/>
      <w:bookmarkEnd w:id="20"/>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界定药品领域相关商品市场和相关地域市场需遵循相关市场界定的基本依据和一般原则，进行替代性分析，同时结合药品领域特点，考虑技术、创新等因素。</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（一）相关商品市场</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界定药品相关商品市场时，可以综合考虑药品的用途或者功效（适应症或者功能主治）、疗法（给药途径、用药次序等）、产品特性、禁忌和不良反应、医患用药偏好、监管和医保政策等因素进行需求替代分析。当供给替代产生的竞争约束类似于需求替代时，可以同时基于市场进入、生产能力、生产设施改造、技术壁垒等因素进行供给替代分析。</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在个案中界定中药所在相关商品市场时，还可以基于药材来源、药材品质、品牌认可度、用药习惯等因素进行需求替代分析，基于专利权保护、商业秘密保护、中药品种保护、民族医药文化等因素进行供给替代分析。</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在个案中界定原料药相关商品市场时，</w:t>
      </w:r>
      <w:r>
        <w:rPr>
          <w:rFonts w:hint="eastAsia" w:ascii="仿宋_GB2312" w:hAnsi="仿宋_GB2312" w:eastAsia="仿宋_GB2312" w:cs="仿宋_GB2312"/>
          <w:color w:val="auto"/>
          <w:sz w:val="32"/>
          <w:szCs w:val="32"/>
          <w:lang w:eastAsia="zh-CN"/>
        </w:rPr>
        <w:t>由于</w:t>
      </w:r>
      <w:r>
        <w:rPr>
          <w:rFonts w:hint="eastAsia" w:ascii="仿宋_GB2312" w:hAnsi="仿宋_GB2312" w:eastAsia="仿宋_GB2312" w:cs="仿宋_GB2312"/>
          <w:color w:val="auto"/>
          <w:sz w:val="32"/>
          <w:szCs w:val="32"/>
        </w:rPr>
        <w:t>原料药对于生产化学</w:t>
      </w:r>
      <w:r>
        <w:rPr>
          <w:rFonts w:hint="eastAsia" w:ascii="仿宋_GB2312" w:hAnsi="仿宋_GB2312" w:eastAsia="仿宋_GB2312" w:cs="仿宋_GB2312"/>
          <w:color w:val="auto"/>
          <w:sz w:val="32"/>
          <w:szCs w:val="32"/>
          <w:lang w:eastAsia="zh-CN"/>
        </w:rPr>
        <w:t>药</w:t>
      </w:r>
      <w:r>
        <w:rPr>
          <w:rFonts w:hint="eastAsia" w:ascii="仿宋_GB2312" w:hAnsi="仿宋_GB2312" w:eastAsia="仿宋_GB2312" w:cs="仿宋_GB2312"/>
          <w:color w:val="auto"/>
          <w:sz w:val="32"/>
          <w:szCs w:val="32"/>
        </w:rPr>
        <w:t>制剂具有特殊作用，一种原料药一般构成单独的相关商品市场，并可能根据具体情况作进一步细分。如果不同品种原料药之间具有紧密替代关系，可能根据具体情况认定多个品种原料药构成同一相关商品市场。</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药品供应链涵盖研发、生产、经营等环节，根据个案情形，可以结合经营者所处环节界定相关商品市场。</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（二）相关地域市场</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界定药品相关地域市场时，可以基于药品生产、经营的相关资质、监管标准以及药品运输、储存等因素进行需求替代或者供给替代分析。</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不同国家或者地区关于药品生产、经营的相关资质和监管标准不同。在中国境内生产、经营药品，药品经营者应当符合有关市场准入、生产质量和经营管理法律法规要求，进口药品需获得中国相关监督管理部门批准。因此，生产、经营药品的相关地域市场一般界定为中国境内市场。</w:t>
      </w:r>
    </w:p>
    <w:p>
      <w:pPr>
        <w:snapToGrid w:val="0"/>
        <w:spacing w:after="0" w:line="594" w:lineRule="exact"/>
        <w:ind w:firstLine="64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根据个案情况，在涉及药品研发创新业务时，相关地域市场可能界定为全球市场；在涉及药品零售、配送等环节时，相关地域市场可能界定为中国境内的一定地域范围。</w:t>
      </w:r>
    </w:p>
    <w:p>
      <w:pPr>
        <w:pStyle w:val="4"/>
        <w:snapToGrid w:val="0"/>
        <w:spacing w:before="0" w:after="0" w:line="594" w:lineRule="exact"/>
        <w:ind w:firstLine="0" w:firstLineChars="0"/>
        <w:jc w:val="both"/>
        <w:rPr>
          <w:rFonts w:hint="eastAsia" w:ascii="黑体" w:hAnsi="黑体" w:eastAsia="黑体" w:cs="黑体"/>
          <w:b w:val="0"/>
          <w:bCs/>
          <w:color w:val="auto"/>
          <w:sz w:val="32"/>
          <w:szCs w:val="32"/>
        </w:rPr>
      </w:pPr>
      <w:bookmarkStart w:id="21" w:name="_Toc6326"/>
      <w:bookmarkStart w:id="22" w:name="_Toc1682051980"/>
    </w:p>
    <w:p>
      <w:pPr>
        <w:pStyle w:val="4"/>
        <w:snapToGrid w:val="0"/>
        <w:spacing w:before="0" w:after="0" w:line="594" w:lineRule="exact"/>
        <w:ind w:firstLine="0" w:firstLineChars="0"/>
        <w:jc w:val="center"/>
        <w:rPr>
          <w:rFonts w:ascii="黑体" w:hAnsi="黑体" w:eastAsia="黑体" w:cs="黑体"/>
          <w:b w:val="0"/>
          <w:bCs/>
          <w:color w:val="auto"/>
          <w:sz w:val="32"/>
          <w:szCs w:val="32"/>
        </w:rPr>
      </w:pPr>
      <w:r>
        <w:rPr>
          <w:rFonts w:hint="eastAsia" w:ascii="黑体" w:hAnsi="黑体" w:eastAsia="黑体" w:cs="黑体"/>
          <w:b w:val="0"/>
          <w:bCs/>
          <w:color w:val="auto"/>
          <w:sz w:val="32"/>
          <w:szCs w:val="32"/>
        </w:rPr>
        <w:t>第二章   垄断协议</w:t>
      </w:r>
      <w:bookmarkEnd w:id="21"/>
      <w:bookmarkEnd w:id="22"/>
      <w:bookmarkStart w:id="23" w:name="_Toc1214447994"/>
      <w:bookmarkStart w:id="24" w:name="_Toc159414475"/>
    </w:p>
    <w:p>
      <w:pPr>
        <w:snapToGrid w:val="0"/>
        <w:spacing w:after="0" w:line="594" w:lineRule="exact"/>
        <w:jc w:val="both"/>
        <w:rPr>
          <w:color w:val="auto"/>
        </w:rPr>
      </w:pPr>
    </w:p>
    <w:p>
      <w:pPr>
        <w:pStyle w:val="4"/>
        <w:snapToGrid w:val="0"/>
        <w:spacing w:before="0" w:after="0" w:line="594" w:lineRule="exact"/>
        <w:ind w:firstLine="640"/>
        <w:jc w:val="both"/>
        <w:rPr>
          <w:rFonts w:ascii="黑体" w:hAnsi="黑体" w:eastAsia="黑体" w:cs="黑体"/>
          <w:b w:val="0"/>
          <w:bCs/>
          <w:color w:val="auto"/>
          <w:sz w:val="32"/>
          <w:szCs w:val="32"/>
        </w:rPr>
      </w:pPr>
      <w:r>
        <w:rPr>
          <w:rFonts w:hint="eastAsia" w:ascii="黑体" w:hAnsi="黑体" w:eastAsia="黑体" w:cs="黑体"/>
          <w:b w:val="0"/>
          <w:bCs/>
          <w:color w:val="auto"/>
          <w:sz w:val="32"/>
          <w:szCs w:val="32"/>
        </w:rPr>
        <w:t>第七条  整体分析框架</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认定药品领域的垄断协议，适用《反垄断法》第二章和《禁止垄断协议规定》。通常情况下，首先认定相关行为是否属于《反垄断法》第十七条、第十八条第一款规定的情形，再分析经营者是否能够证明上述行为符合《反垄断法》规定的不予禁止或者豁免条件。</w:t>
      </w:r>
    </w:p>
    <w:p>
      <w:pPr>
        <w:pStyle w:val="4"/>
        <w:snapToGrid w:val="0"/>
        <w:spacing w:before="0" w:after="0" w:line="594" w:lineRule="exact"/>
        <w:ind w:firstLine="640"/>
        <w:jc w:val="both"/>
        <w:rPr>
          <w:rFonts w:ascii="黑体" w:hAnsi="黑体" w:eastAsia="黑体" w:cs="黑体"/>
          <w:b w:val="0"/>
          <w:bCs/>
          <w:color w:val="auto"/>
          <w:sz w:val="32"/>
          <w:szCs w:val="32"/>
        </w:rPr>
      </w:pPr>
      <w:bookmarkStart w:id="25" w:name="_Toc2128227808"/>
      <w:bookmarkStart w:id="26" w:name="_Toc1849323023"/>
      <w:bookmarkStart w:id="27" w:name="_Toc1313517614"/>
      <w:bookmarkStart w:id="28" w:name="_Toc2222"/>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eastAsia="zh-CN"/>
        </w:rPr>
        <w:t>八</w:t>
      </w:r>
      <w:r>
        <w:rPr>
          <w:rFonts w:hint="eastAsia" w:ascii="黑体" w:hAnsi="黑体" w:eastAsia="黑体" w:cs="黑体"/>
          <w:b w:val="0"/>
          <w:bCs/>
          <w:color w:val="auto"/>
          <w:sz w:val="32"/>
          <w:szCs w:val="32"/>
        </w:rPr>
        <w:t>条</w:t>
      </w:r>
      <w:bookmarkStart w:id="29" w:name="OLE_LINK1"/>
      <w:r>
        <w:rPr>
          <w:rFonts w:hint="eastAsia" w:ascii="黑体" w:hAnsi="黑体" w:eastAsia="黑体" w:cs="黑体"/>
          <w:b w:val="0"/>
          <w:bCs/>
          <w:color w:val="auto"/>
          <w:sz w:val="32"/>
          <w:szCs w:val="32"/>
        </w:rPr>
        <w:t xml:space="preserve">  固定或者变更药品价格</w:t>
      </w:r>
      <w:bookmarkEnd w:id="25"/>
      <w:bookmarkEnd w:id="26"/>
      <w:bookmarkEnd w:id="27"/>
      <w:bookmarkEnd w:id="28"/>
      <w:bookmarkEnd w:id="29"/>
    </w:p>
    <w:p>
      <w:pPr>
        <w:snapToGrid w:val="0"/>
        <w:spacing w:after="0" w:line="594" w:lineRule="exact"/>
        <w:ind w:firstLine="640"/>
        <w:jc w:val="both"/>
        <w:rPr>
          <w:rFonts w:ascii="仿宋_GB2312" w:hAnsi="仿宋_GB2312" w:eastAsia="仿宋_GB2312" w:cs="仿宋_GB2312"/>
          <w:color w:val="auto"/>
          <w:sz w:val="32"/>
          <w:szCs w:val="32"/>
        </w:rPr>
      </w:pPr>
      <w:bookmarkStart w:id="30" w:name="OLE_LINK2"/>
      <w:r>
        <w:rPr>
          <w:rFonts w:hint="eastAsia" w:ascii="仿宋_GB2312" w:hAnsi="仿宋_GB2312" w:eastAsia="仿宋_GB2312" w:cs="仿宋_GB2312"/>
          <w:color w:val="auto"/>
          <w:sz w:val="32"/>
          <w:szCs w:val="32"/>
        </w:rPr>
        <w:t>禁止具有竞争关系的药品经营者就固定或者变更药品价格达成下列垄断协议：</w:t>
      </w:r>
      <w:bookmarkEnd w:id="30"/>
    </w:p>
    <w:p>
      <w:pPr>
        <w:numPr>
          <w:ilvl w:val="255"/>
          <w:numId w:val="0"/>
        </w:numPr>
        <w:snapToGrid w:val="0"/>
        <w:spacing w:after="0" w:line="594"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（一）固定或者变更药品出厂价、客户报价等药品销售价格、采购价格或者价格变动幅度、利润水平</w:t>
      </w:r>
      <w:r>
        <w:rPr>
          <w:rFonts w:hint="eastAsia" w:ascii="仿宋_GB2312" w:hAnsi="仿宋_GB2312" w:eastAsia="仿宋_GB2312" w:cs="仿宋_GB2312"/>
          <w:color w:val="auto"/>
          <w:sz w:val="32"/>
          <w:szCs w:val="32"/>
          <w:lang w:eastAsia="zh-CN"/>
        </w:rPr>
        <w:t>或者</w:t>
      </w:r>
      <w:r>
        <w:rPr>
          <w:rFonts w:hint="eastAsia" w:ascii="仿宋_GB2312" w:hAnsi="仿宋_GB2312" w:eastAsia="仿宋_GB2312" w:cs="仿宋_GB2312"/>
          <w:color w:val="auto"/>
          <w:sz w:val="32"/>
          <w:szCs w:val="32"/>
        </w:rPr>
        <w:t>折扣、手续费等其他费用；</w:t>
      </w:r>
    </w:p>
    <w:p>
      <w:pPr>
        <w:snapToGrid w:val="0"/>
        <w:spacing w:after="0" w:line="594" w:lineRule="exact"/>
        <w:ind w:firstLine="640"/>
        <w:jc w:val="both"/>
        <w:rPr>
          <w:rFonts w:ascii="仿宋_GB2312" w:hAnsi="仿宋_GB2312" w:eastAsia="仿宋_GB2312" w:cs="仿宋_GB2312"/>
          <w:color w:val="auto"/>
          <w:sz w:val="32"/>
          <w:szCs w:val="32"/>
        </w:rPr>
      </w:pPr>
      <w:bookmarkStart w:id="31" w:name="tiao_8_kuan_1_xiang_2"/>
      <w:bookmarkEnd w:id="31"/>
      <w:r>
        <w:rPr>
          <w:rFonts w:hint="eastAsia" w:ascii="仿宋_GB2312" w:hAnsi="仿宋_GB2312" w:eastAsia="仿宋_GB2312" w:cs="仿宋_GB2312"/>
          <w:color w:val="auto"/>
          <w:sz w:val="32"/>
          <w:szCs w:val="32"/>
        </w:rPr>
        <w:t>（二）约定采用据以计算药品价格的标准公式、算法、规则等；</w:t>
      </w:r>
    </w:p>
    <w:p>
      <w:pPr>
        <w:numPr>
          <w:ilvl w:val="255"/>
          <w:numId w:val="0"/>
        </w:numPr>
        <w:snapToGrid w:val="0"/>
        <w:spacing w:after="0" w:line="594" w:lineRule="exact"/>
        <w:ind w:firstLine="640" w:firstLineChars="200"/>
        <w:jc w:val="both"/>
        <w:rPr>
          <w:rFonts w:ascii="仿宋_GB2312" w:hAnsi="仿宋_GB2312" w:eastAsia="仿宋_GB2312" w:cs="仿宋_GB2312"/>
          <w:color w:val="auto"/>
          <w:sz w:val="32"/>
          <w:szCs w:val="32"/>
        </w:rPr>
      </w:pPr>
      <w:bookmarkStart w:id="32" w:name="tiao_8_kuan_1_xiang_3"/>
      <w:bookmarkEnd w:id="32"/>
      <w:r>
        <w:rPr>
          <w:rFonts w:hint="eastAsia" w:ascii="仿宋_GB2312" w:hAnsi="仿宋_GB2312" w:eastAsia="仿宋_GB2312" w:cs="仿宋_GB2312"/>
          <w:color w:val="auto"/>
          <w:sz w:val="32"/>
          <w:szCs w:val="32"/>
        </w:rPr>
        <w:t>（三）限制参与协议的药品经营者的自主定价权，要求联合定价、不得自主降价等；</w:t>
      </w:r>
    </w:p>
    <w:p>
      <w:pPr>
        <w:numPr>
          <w:ilvl w:val="255"/>
          <w:numId w:val="0"/>
        </w:numPr>
        <w:snapToGrid w:val="0"/>
        <w:spacing w:after="0" w:line="594" w:lineRule="exact"/>
        <w:ind w:firstLine="640" w:firstLineChars="200"/>
        <w:jc w:val="both"/>
        <w:rPr>
          <w:rFonts w:ascii="仿宋_GB2312" w:hAnsi="仿宋_GB2312" w:eastAsia="仿宋_GB2312" w:cs="仿宋_GB2312"/>
          <w:strike/>
          <w:color w:val="auto"/>
          <w:sz w:val="32"/>
          <w:szCs w:val="32"/>
        </w:rPr>
      </w:pPr>
      <w:r>
        <w:rPr>
          <w:rFonts w:hint="eastAsia" w:ascii="仿宋_GB2312" w:hAnsi="仿宋_GB2312" w:eastAsia="仿宋_GB2312" w:cs="仿宋_GB2312"/>
          <w:color w:val="auto"/>
          <w:sz w:val="32"/>
          <w:szCs w:val="32"/>
        </w:rPr>
        <w:t>（四）通过第三方主体（如上下游药品经营</w:t>
      </w:r>
      <w:r>
        <w:rPr>
          <w:rFonts w:hint="eastAsia" w:ascii="仿宋_GB2312" w:hAnsi="仿宋_GB2312" w:eastAsia="仿宋_GB2312" w:cs="仿宋_GB2312"/>
          <w:color w:val="auto"/>
          <w:sz w:val="32"/>
          <w:szCs w:val="32"/>
          <w:lang w:eastAsia="zh-CN"/>
        </w:rPr>
        <w:t>者</w:t>
      </w:r>
      <w:r>
        <w:rPr>
          <w:rFonts w:hint="eastAsia" w:ascii="仿宋_GB2312" w:hAnsi="仿宋_GB2312" w:eastAsia="仿宋_GB2312" w:cs="仿宋_GB2312"/>
          <w:color w:val="auto"/>
          <w:sz w:val="32"/>
          <w:szCs w:val="32"/>
        </w:rPr>
        <w:t>或者信息平台）、行业会议等进行意思联络或者信息沟通，就药品价格协调一致或者作出一致行为；</w:t>
      </w:r>
    </w:p>
    <w:p>
      <w:pPr>
        <w:snapToGrid w:val="0"/>
        <w:spacing w:after="0" w:line="594" w:lineRule="exact"/>
        <w:ind w:firstLine="640"/>
        <w:jc w:val="both"/>
        <w:rPr>
          <w:rFonts w:ascii="仿宋_GB2312" w:hAnsi="仿宋_GB2312" w:eastAsia="仿宋_GB2312" w:cs="仿宋_GB2312"/>
          <w:color w:val="auto"/>
          <w:sz w:val="32"/>
          <w:szCs w:val="32"/>
        </w:rPr>
      </w:pPr>
      <w:bookmarkStart w:id="33" w:name="tiao_8_kuan_1_xiang_4"/>
      <w:bookmarkEnd w:id="33"/>
      <w:r>
        <w:rPr>
          <w:rFonts w:hint="eastAsia" w:ascii="仿宋_GB2312" w:hAnsi="仿宋_GB2312" w:eastAsia="仿宋_GB2312" w:cs="仿宋_GB2312"/>
          <w:color w:val="auto"/>
          <w:sz w:val="32"/>
          <w:szCs w:val="32"/>
        </w:rPr>
        <w:t>（五）通过其他方式固定或者变更药品价格。</w:t>
      </w:r>
    </w:p>
    <w:p>
      <w:pPr>
        <w:pStyle w:val="4"/>
        <w:snapToGrid w:val="0"/>
        <w:spacing w:before="0" w:after="0" w:line="594" w:lineRule="exact"/>
        <w:ind w:firstLine="640"/>
        <w:jc w:val="both"/>
        <w:rPr>
          <w:rFonts w:ascii="黑体" w:hAnsi="黑体" w:eastAsia="黑体" w:cs="黑体"/>
          <w:b w:val="0"/>
          <w:bCs/>
          <w:color w:val="auto"/>
          <w:sz w:val="32"/>
          <w:szCs w:val="32"/>
        </w:rPr>
      </w:pPr>
      <w:bookmarkStart w:id="34" w:name="_Toc158647338"/>
      <w:bookmarkStart w:id="35" w:name="_Toc637144624"/>
      <w:bookmarkStart w:id="36" w:name="_Toc8149"/>
      <w:bookmarkStart w:id="37" w:name="_Toc1041224530"/>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eastAsia="zh-CN"/>
        </w:rPr>
        <w:t>九</w:t>
      </w:r>
      <w:r>
        <w:rPr>
          <w:rFonts w:hint="eastAsia" w:ascii="黑体" w:hAnsi="黑体" w:eastAsia="黑体" w:cs="黑体"/>
          <w:b w:val="0"/>
          <w:bCs/>
          <w:color w:val="auto"/>
          <w:sz w:val="32"/>
          <w:szCs w:val="32"/>
        </w:rPr>
        <w:t>条  限制药品的生产数量或者销售数量</w:t>
      </w:r>
      <w:bookmarkEnd w:id="34"/>
      <w:bookmarkEnd w:id="35"/>
      <w:bookmarkEnd w:id="36"/>
      <w:bookmarkEnd w:id="37"/>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禁止具有竞争关系的药品经营者就限制药品的生产数量或者销售数量达成下列垄断协议：</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（一）以联合限制产量、固定产量、停止生产等方式限制药品的生产数量，或者限制特定品种、规格药品的生产数量，或者</w:t>
      </w:r>
      <w:bookmarkStart w:id="38" w:name="tiao_9_kuan_1_xiang_2"/>
      <w:bookmarkEnd w:id="38"/>
      <w:r>
        <w:rPr>
          <w:rFonts w:hint="eastAsia" w:ascii="仿宋_GB2312" w:hAnsi="仿宋_GB2312" w:eastAsia="仿宋_GB2312" w:cs="仿宋_GB2312"/>
          <w:color w:val="auto"/>
          <w:sz w:val="32"/>
          <w:szCs w:val="32"/>
        </w:rPr>
        <w:t>通过给予具有竞争关系的经营者补偿的方式约定其不生产特定药品或者限制特定药品的生产数量等；</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（二）以限制投放量等方式限制药品的销售数量，或者限制特定品种、规格药品的销售数量，或者约定具有竞争关系的经营者不对外销售或者限制其销售数量；</w:t>
      </w:r>
    </w:p>
    <w:p>
      <w:pPr>
        <w:snapToGrid w:val="0"/>
        <w:spacing w:after="0" w:line="594" w:lineRule="exact"/>
        <w:ind w:firstLine="640"/>
        <w:jc w:val="both"/>
        <w:rPr>
          <w:rFonts w:ascii="仿宋_GB2312" w:hAnsi="仿宋_GB2312" w:eastAsia="仿宋_GB2312" w:cs="仿宋_GB2312"/>
          <w:color w:val="auto"/>
          <w:sz w:val="32"/>
          <w:szCs w:val="32"/>
        </w:rPr>
      </w:pPr>
      <w:bookmarkStart w:id="39" w:name="tiao_9_kuan_1_xiang_3"/>
      <w:bookmarkEnd w:id="39"/>
      <w:r>
        <w:rPr>
          <w:rFonts w:hint="eastAsia" w:ascii="仿宋_GB2312" w:hAnsi="仿宋_GB2312" w:eastAsia="仿宋_GB2312" w:cs="仿宋_GB2312"/>
          <w:color w:val="auto"/>
          <w:sz w:val="32"/>
          <w:szCs w:val="32"/>
        </w:rPr>
        <w:t>（三）通过其他方式限制药品的生产数量或者销售数量。</w:t>
      </w:r>
    </w:p>
    <w:p>
      <w:pPr>
        <w:pStyle w:val="4"/>
        <w:snapToGrid w:val="0"/>
        <w:spacing w:before="0" w:after="0" w:line="594" w:lineRule="exact"/>
        <w:ind w:firstLine="640"/>
        <w:jc w:val="both"/>
        <w:rPr>
          <w:rFonts w:ascii="黑体" w:hAnsi="黑体" w:eastAsia="黑体" w:cs="黑体"/>
          <w:b w:val="0"/>
          <w:bCs/>
          <w:color w:val="auto"/>
          <w:sz w:val="32"/>
          <w:szCs w:val="32"/>
        </w:rPr>
      </w:pPr>
      <w:bookmarkStart w:id="40" w:name="_Toc16480"/>
      <w:bookmarkStart w:id="41" w:name="_Toc1136231626"/>
      <w:bookmarkStart w:id="42" w:name="_Toc16436307"/>
      <w:bookmarkStart w:id="43" w:name="_Toc1358603839"/>
      <w:r>
        <w:rPr>
          <w:rFonts w:hint="eastAsia" w:ascii="黑体" w:hAnsi="黑体" w:eastAsia="黑体" w:cs="黑体"/>
          <w:b w:val="0"/>
          <w:bCs/>
          <w:color w:val="auto"/>
          <w:sz w:val="32"/>
          <w:szCs w:val="32"/>
        </w:rPr>
        <w:t>第十条  分割销售市场或者原材料采购市场</w:t>
      </w:r>
      <w:bookmarkEnd w:id="40"/>
      <w:bookmarkEnd w:id="41"/>
      <w:bookmarkEnd w:id="42"/>
      <w:bookmarkEnd w:id="43"/>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禁止具有竞争关系的药品经营者就分割销售市场或者原材料采购市场达成下列垄断协议：</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（一）分割药品销售地域、市场份额、销售对象、销售收入、销售利润或者销售药品的种类、数量、时间；</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（二）分割生产药品的原料、辅料、包装材料、容器等原材料的采购区域、种类、数量、时间或者供应商；</w:t>
      </w:r>
    </w:p>
    <w:p>
      <w:pPr>
        <w:snapToGrid w:val="0"/>
        <w:spacing w:after="0" w:line="594" w:lineRule="exact"/>
        <w:ind w:firstLine="64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（三）通过其他方式分割药品销售市场或者药品原材料采购市场。</w:t>
      </w:r>
    </w:p>
    <w:p>
      <w:pPr>
        <w:pStyle w:val="4"/>
        <w:snapToGrid w:val="0"/>
        <w:spacing w:before="0" w:after="0" w:line="594" w:lineRule="exact"/>
        <w:ind w:firstLine="640"/>
        <w:jc w:val="both"/>
        <w:rPr>
          <w:rFonts w:ascii="黑体" w:hAnsi="黑体" w:eastAsia="黑体" w:cs="黑体"/>
          <w:b w:val="0"/>
          <w:bCs/>
          <w:color w:val="auto"/>
          <w:sz w:val="32"/>
          <w:szCs w:val="32"/>
        </w:rPr>
      </w:pPr>
      <w:bookmarkStart w:id="44" w:name="_Toc7467"/>
      <w:bookmarkStart w:id="45" w:name="_Toc2008587169"/>
      <w:bookmarkStart w:id="46" w:name="_Toc1220349058"/>
      <w:bookmarkStart w:id="47" w:name="_Toc1367104933"/>
      <w:r>
        <w:rPr>
          <w:rFonts w:hint="eastAsia" w:ascii="黑体" w:hAnsi="黑体" w:eastAsia="黑体" w:cs="黑体"/>
          <w:b w:val="0"/>
          <w:bCs/>
          <w:color w:val="auto"/>
          <w:sz w:val="32"/>
          <w:szCs w:val="32"/>
        </w:rPr>
        <w:t>第十</w:t>
      </w:r>
      <w:r>
        <w:rPr>
          <w:rFonts w:hint="eastAsia" w:ascii="黑体" w:hAnsi="黑体" w:eastAsia="黑体" w:cs="黑体"/>
          <w:b w:val="0"/>
          <w:bCs/>
          <w:color w:val="auto"/>
          <w:sz w:val="32"/>
          <w:szCs w:val="32"/>
          <w:lang w:eastAsia="zh-CN"/>
        </w:rPr>
        <w:t>一</w:t>
      </w:r>
      <w:r>
        <w:rPr>
          <w:rFonts w:hint="eastAsia" w:ascii="黑体" w:hAnsi="黑体" w:eastAsia="黑体" w:cs="黑体"/>
          <w:b w:val="0"/>
          <w:bCs/>
          <w:color w:val="auto"/>
          <w:sz w:val="32"/>
          <w:szCs w:val="32"/>
        </w:rPr>
        <w:t>条  限制购买新技术、新设备或者限制开发新技术、新药品</w:t>
      </w:r>
      <w:bookmarkEnd w:id="44"/>
      <w:bookmarkEnd w:id="45"/>
      <w:bookmarkEnd w:id="46"/>
      <w:bookmarkEnd w:id="47"/>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禁止具有竞争关系的药品经营者就限制购买新技术、新设备或者限制开发新技术、新药品达成下列垄断协议：</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（一）限制购买、租赁、使用生产药品的新技术、新工艺、新设备；</w:t>
      </w:r>
    </w:p>
    <w:p>
      <w:pPr>
        <w:snapToGrid w:val="0"/>
        <w:spacing w:after="0" w:line="594" w:lineRule="exact"/>
        <w:ind w:firstLine="640"/>
        <w:jc w:val="both"/>
        <w:rPr>
          <w:rFonts w:ascii="仿宋_GB2312" w:hAnsi="仿宋_GB2312" w:eastAsia="仿宋_GB2312" w:cs="仿宋_GB2312"/>
          <w:color w:val="auto"/>
          <w:sz w:val="32"/>
          <w:szCs w:val="32"/>
        </w:rPr>
      </w:pPr>
      <w:bookmarkStart w:id="48" w:name="tiao_11_kuan_1_xiang_3"/>
      <w:bookmarkEnd w:id="48"/>
      <w:bookmarkStart w:id="49" w:name="tiao_11_kuan_1_xiang_2"/>
      <w:bookmarkEnd w:id="49"/>
      <w:r>
        <w:rPr>
          <w:rFonts w:hint="eastAsia" w:ascii="仿宋_GB2312" w:hAnsi="仿宋_GB2312" w:eastAsia="仿宋_GB2312" w:cs="仿宋_GB2312"/>
          <w:color w:val="auto"/>
          <w:sz w:val="32"/>
          <w:szCs w:val="32"/>
        </w:rPr>
        <w:t>（二）限制投资、研发新的药品品种、剂型、用途或者生产药品的新技术、新工艺、新设备；</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（三）限制在与联合研发协议无关的领域进行药品</w:t>
      </w:r>
      <w:r>
        <w:rPr>
          <w:rFonts w:hint="eastAsia" w:ascii="仿宋_GB2312" w:hAnsi="仿宋_GB2312" w:eastAsia="仿宋_GB2312" w:cs="仿宋_GB2312"/>
          <w:color w:val="auto"/>
          <w:sz w:val="32"/>
          <w:szCs w:val="32"/>
          <w:lang w:eastAsia="zh-CN"/>
        </w:rPr>
        <w:t>相关</w:t>
      </w:r>
      <w:r>
        <w:rPr>
          <w:rFonts w:hint="eastAsia" w:ascii="仿宋_GB2312" w:hAnsi="仿宋_GB2312" w:eastAsia="仿宋_GB2312" w:cs="仿宋_GB2312"/>
          <w:color w:val="auto"/>
          <w:sz w:val="32"/>
          <w:szCs w:val="32"/>
        </w:rPr>
        <w:t>研发；</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bookmarkStart w:id="50" w:name="OLE_LINK4"/>
      <w:r>
        <w:rPr>
          <w:rFonts w:hint="eastAsia" w:ascii="仿宋_GB2312" w:hAnsi="仿宋_GB2312" w:eastAsia="仿宋_GB2312" w:cs="仿宋_GB2312"/>
          <w:color w:val="auto"/>
          <w:sz w:val="32"/>
          <w:szCs w:val="32"/>
        </w:rPr>
        <w:t>四</w:t>
      </w:r>
      <w:bookmarkEnd w:id="50"/>
      <w:r>
        <w:rPr>
          <w:rFonts w:hint="eastAsia" w:ascii="仿宋_GB2312" w:hAnsi="仿宋_GB2312" w:eastAsia="仿宋_GB2312" w:cs="仿宋_GB2312"/>
          <w:color w:val="auto"/>
          <w:sz w:val="32"/>
          <w:szCs w:val="32"/>
        </w:rPr>
        <w:t>）</w:t>
      </w:r>
      <w:r>
        <w:rPr>
          <w:rFonts w:ascii="仿宋_GB2312" w:hAnsi="仿宋_GB2312" w:eastAsia="仿宋_GB2312" w:cs="仿宋_GB2312"/>
          <w:color w:val="auto"/>
          <w:sz w:val="32"/>
          <w:szCs w:val="32"/>
        </w:rPr>
        <w:t>限制联合研发完成后在与研发协议有关的领域进行药品</w:t>
      </w:r>
      <w:r>
        <w:rPr>
          <w:rFonts w:hint="eastAsia" w:ascii="仿宋_GB2312" w:hAnsi="仿宋_GB2312" w:eastAsia="仿宋_GB2312" w:cs="仿宋_GB2312"/>
          <w:color w:val="auto"/>
          <w:sz w:val="32"/>
          <w:szCs w:val="32"/>
          <w:lang w:eastAsia="zh-CN"/>
        </w:rPr>
        <w:t>相关</w:t>
      </w:r>
      <w:r>
        <w:rPr>
          <w:rFonts w:ascii="仿宋_GB2312" w:hAnsi="仿宋_GB2312" w:eastAsia="仿宋_GB2312" w:cs="仿宋_GB2312"/>
          <w:color w:val="auto"/>
          <w:sz w:val="32"/>
          <w:szCs w:val="32"/>
        </w:rPr>
        <w:t>研发</w:t>
      </w:r>
      <w:r>
        <w:rPr>
          <w:rFonts w:hint="eastAsia" w:ascii="仿宋_GB2312" w:hAnsi="仿宋_GB2312" w:eastAsia="仿宋_GB2312" w:cs="仿宋_GB2312"/>
          <w:color w:val="auto"/>
          <w:sz w:val="32"/>
          <w:szCs w:val="32"/>
        </w:rPr>
        <w:t>；</w:t>
      </w:r>
    </w:p>
    <w:p>
      <w:pPr>
        <w:snapToGrid w:val="0"/>
        <w:spacing w:after="0" w:line="594" w:lineRule="exact"/>
        <w:ind w:firstLine="640"/>
        <w:jc w:val="both"/>
        <w:rPr>
          <w:rFonts w:ascii="仿宋_GB2312" w:hAnsi="仿宋_GB2312" w:eastAsia="仿宋_GB2312" w:cs="仿宋_GB2312"/>
          <w:color w:val="auto"/>
          <w:sz w:val="32"/>
          <w:szCs w:val="32"/>
        </w:rPr>
      </w:pPr>
      <w:bookmarkStart w:id="51" w:name="tiao_11_kuan_1_xiang_5"/>
      <w:bookmarkEnd w:id="51"/>
      <w:bookmarkStart w:id="52" w:name="tiao_11_kuan_1_xiang_4"/>
      <w:bookmarkEnd w:id="52"/>
      <w:r>
        <w:rPr>
          <w:rFonts w:hint="eastAsia" w:ascii="仿宋_GB2312" w:hAnsi="仿宋_GB2312" w:eastAsia="仿宋_GB2312" w:cs="仿宋_GB2312"/>
          <w:color w:val="auto"/>
          <w:sz w:val="32"/>
          <w:szCs w:val="32"/>
        </w:rPr>
        <w:t>（五）通过其他方式限制</w:t>
      </w:r>
      <w:bookmarkStart w:id="53" w:name="OLE_LINK6"/>
      <w:r>
        <w:rPr>
          <w:rFonts w:hint="eastAsia" w:ascii="仿宋_GB2312" w:hAnsi="仿宋_GB2312" w:eastAsia="仿宋_GB2312" w:cs="仿宋_GB2312"/>
          <w:color w:val="auto"/>
          <w:sz w:val="32"/>
          <w:szCs w:val="32"/>
        </w:rPr>
        <w:t>购买</w:t>
      </w:r>
      <w:bookmarkEnd w:id="53"/>
      <w:r>
        <w:rPr>
          <w:rFonts w:hint="eastAsia" w:ascii="仿宋_GB2312" w:hAnsi="仿宋_GB2312" w:eastAsia="仿宋_GB2312" w:cs="仿宋_GB2312"/>
          <w:color w:val="auto"/>
          <w:sz w:val="32"/>
          <w:szCs w:val="32"/>
        </w:rPr>
        <w:t>生产药品的新技术、新设备或者限制开发新技术、新药品。</w:t>
      </w:r>
    </w:p>
    <w:p>
      <w:pPr>
        <w:pStyle w:val="4"/>
        <w:snapToGrid w:val="0"/>
        <w:spacing w:before="0" w:after="0" w:line="594" w:lineRule="exact"/>
        <w:ind w:firstLine="640"/>
        <w:jc w:val="both"/>
        <w:rPr>
          <w:rFonts w:ascii="黑体" w:hAnsi="黑体" w:eastAsia="黑体" w:cs="黑体"/>
          <w:b w:val="0"/>
          <w:bCs/>
          <w:color w:val="auto"/>
          <w:sz w:val="32"/>
          <w:szCs w:val="32"/>
        </w:rPr>
      </w:pPr>
      <w:bookmarkStart w:id="54" w:name="_Toc14902"/>
      <w:bookmarkStart w:id="55" w:name="_Toc1005069678"/>
      <w:bookmarkStart w:id="56" w:name="_Toc2029102190"/>
      <w:bookmarkStart w:id="57" w:name="_Toc1937788956"/>
      <w:r>
        <w:rPr>
          <w:rFonts w:hint="eastAsia" w:ascii="黑体" w:hAnsi="黑体" w:eastAsia="黑体" w:cs="黑体"/>
          <w:b w:val="0"/>
          <w:bCs/>
          <w:color w:val="auto"/>
          <w:sz w:val="32"/>
          <w:szCs w:val="32"/>
        </w:rPr>
        <w:t>第十</w:t>
      </w:r>
      <w:r>
        <w:rPr>
          <w:rFonts w:hint="eastAsia" w:ascii="黑体" w:hAnsi="黑体" w:eastAsia="黑体" w:cs="黑体"/>
          <w:b w:val="0"/>
          <w:bCs/>
          <w:color w:val="auto"/>
          <w:sz w:val="32"/>
          <w:szCs w:val="32"/>
          <w:lang w:eastAsia="zh-CN"/>
        </w:rPr>
        <w:t>二</w:t>
      </w:r>
      <w:r>
        <w:rPr>
          <w:rFonts w:hint="eastAsia" w:ascii="黑体" w:hAnsi="黑体" w:eastAsia="黑体" w:cs="黑体"/>
          <w:b w:val="0"/>
          <w:bCs/>
          <w:color w:val="auto"/>
          <w:sz w:val="32"/>
          <w:szCs w:val="32"/>
        </w:rPr>
        <w:t>条  联合抵制交易</w:t>
      </w:r>
      <w:bookmarkEnd w:id="54"/>
      <w:bookmarkEnd w:id="55"/>
      <w:bookmarkEnd w:id="56"/>
      <w:bookmarkEnd w:id="57"/>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禁止具有竞争关系的药品经营者就联合抵制交易达成下列垄断协议：</w:t>
      </w:r>
    </w:p>
    <w:p>
      <w:pPr>
        <w:numPr>
          <w:ilvl w:val="0"/>
          <w:numId w:val="1"/>
        </w:num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通过拖延、中断与特定经营者的交易或者设置限制性条件等，联合拒绝向特定经营者供应或者销售药品；</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（二）联合拒绝采购或者销售特定经营者的药品；</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（三）联合限定特定经营者不得与其具有竞争关系的药品经营者进行交易；</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（四）通过其他方式联合抵制交易。</w:t>
      </w:r>
    </w:p>
    <w:bookmarkEnd w:id="23"/>
    <w:bookmarkEnd w:id="24"/>
    <w:p>
      <w:pPr>
        <w:pStyle w:val="4"/>
        <w:snapToGrid w:val="0"/>
        <w:spacing w:before="0" w:after="0" w:line="594" w:lineRule="exact"/>
        <w:ind w:firstLine="640"/>
        <w:jc w:val="both"/>
        <w:rPr>
          <w:rFonts w:ascii="黑体" w:hAnsi="黑体" w:eastAsia="黑体" w:cs="黑体"/>
          <w:b w:val="0"/>
          <w:bCs/>
          <w:color w:val="auto"/>
          <w:sz w:val="32"/>
          <w:szCs w:val="32"/>
        </w:rPr>
      </w:pPr>
      <w:bookmarkStart w:id="58" w:name="_Toc1542854070"/>
      <w:bookmarkStart w:id="59" w:name="_Toc344661013"/>
      <w:bookmarkStart w:id="60" w:name="_Toc802910448"/>
      <w:bookmarkStart w:id="61" w:name="_Toc2123978699"/>
      <w:bookmarkStart w:id="62" w:name="_Toc159414476"/>
      <w:bookmarkStart w:id="63" w:name="_Toc3151"/>
      <w:r>
        <w:rPr>
          <w:rFonts w:hint="eastAsia" w:ascii="黑体" w:hAnsi="黑体" w:eastAsia="黑体" w:cs="黑体"/>
          <w:b w:val="0"/>
          <w:bCs/>
          <w:color w:val="auto"/>
          <w:sz w:val="32"/>
          <w:szCs w:val="32"/>
        </w:rPr>
        <w:t>第十</w:t>
      </w:r>
      <w:r>
        <w:rPr>
          <w:rFonts w:hint="eastAsia" w:ascii="黑体" w:hAnsi="黑体" w:eastAsia="黑体" w:cs="黑体"/>
          <w:b w:val="0"/>
          <w:bCs/>
          <w:color w:val="auto"/>
          <w:sz w:val="32"/>
          <w:szCs w:val="32"/>
          <w:lang w:eastAsia="zh-CN"/>
        </w:rPr>
        <w:t>三</w:t>
      </w:r>
      <w:r>
        <w:rPr>
          <w:rFonts w:hint="eastAsia" w:ascii="黑体" w:hAnsi="黑体" w:eastAsia="黑体" w:cs="黑体"/>
          <w:b w:val="0"/>
          <w:bCs/>
          <w:color w:val="auto"/>
          <w:sz w:val="32"/>
          <w:szCs w:val="32"/>
        </w:rPr>
        <w:t>条  反向支付协议</w:t>
      </w:r>
    </w:p>
    <w:bookmarkEnd w:id="58"/>
    <w:bookmarkEnd w:id="59"/>
    <w:bookmarkEnd w:id="60"/>
    <w:bookmarkEnd w:id="61"/>
    <w:bookmarkEnd w:id="62"/>
    <w:bookmarkEnd w:id="63"/>
    <w:p>
      <w:pPr>
        <w:widowControl/>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被仿制药专利权人与仿制药申请人之间具有实际或者潜在的竞争关系。被仿制药专利权人无正当理由给予或者承诺给予仿制药申请人直接或者间接的利益补偿，仿制药申请人</w:t>
      </w:r>
      <w:r>
        <w:rPr>
          <w:rFonts w:hint="eastAsia" w:ascii="仿宋_GB2312" w:hAnsi="仿宋_GB2312" w:eastAsia="仿宋_GB2312" w:cs="仿宋_GB2312"/>
          <w:color w:val="auto"/>
          <w:sz w:val="32"/>
          <w:szCs w:val="32"/>
          <w:shd w:val="clear" w:fill="auto"/>
          <w:lang w:val="en-US" w:eastAsia="zh-CN"/>
        </w:rPr>
        <w:t>作出</w:t>
      </w:r>
      <w:r>
        <w:rPr>
          <w:rFonts w:hint="eastAsia" w:ascii="仿宋_GB2312" w:hAnsi="仿宋_GB2312" w:eastAsia="仿宋_GB2312" w:cs="仿宋_GB2312"/>
          <w:color w:val="auto"/>
          <w:sz w:val="32"/>
          <w:szCs w:val="32"/>
        </w:rPr>
        <w:t>不挑战该被仿制药相关专利权的有效性、延迟进入该被仿制药相关市场或者不在特定地域销售仿制药等不竞争承诺的反向支付协议，可能构成《反垄断法》第十七条第二项、第三项、第四项或者第六项禁止的垄断协议。</w:t>
      </w:r>
    </w:p>
    <w:p>
      <w:pPr>
        <w:widowControl/>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反垄断执法机构分析反向支付协议是否构成垄断协议，考虑以下因素：</w:t>
      </w:r>
    </w:p>
    <w:p>
      <w:pPr>
        <w:widowControl/>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（一）被仿制药专利权人给予仿制药申请人的利益补偿是否明显超出被仿制药专利相关纠纷解决成本且无法作出合理解释；</w:t>
      </w:r>
    </w:p>
    <w:p>
      <w:pPr>
        <w:widowControl/>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（二）若仿制药申请人提出专利无效宣告请求，被仿制药专利权</w:t>
      </w:r>
      <w:r>
        <w:rPr>
          <w:rFonts w:hint="eastAsia" w:ascii="仿宋_GB2312" w:hAnsi="仿宋_GB2312" w:eastAsia="仿宋_GB2312" w:cs="仿宋_GB2312"/>
          <w:color w:val="auto"/>
          <w:sz w:val="32"/>
          <w:szCs w:val="32"/>
          <w:lang w:eastAsia="zh-CN"/>
        </w:rPr>
        <w:t>因此</w:t>
      </w:r>
      <w:r>
        <w:rPr>
          <w:rFonts w:hint="eastAsia" w:ascii="仿宋_GB2312" w:hAnsi="仿宋_GB2312" w:eastAsia="仿宋_GB2312" w:cs="仿宋_GB2312"/>
          <w:color w:val="auto"/>
          <w:sz w:val="32"/>
          <w:szCs w:val="32"/>
        </w:rPr>
        <w:t>归于无效的可能性；</w:t>
      </w:r>
    </w:p>
    <w:p>
      <w:pPr>
        <w:widowControl/>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（三）协议是否实质延长了被仿制药专利权人的市场独占时间或者阻碍、影响仿制药进入相关市场；</w:t>
      </w:r>
    </w:p>
    <w:p>
      <w:pPr>
        <w:widowControl/>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（四）其他排除、限制相关市场竞争的因素。</w:t>
      </w:r>
    </w:p>
    <w:p>
      <w:pPr>
        <w:pStyle w:val="4"/>
        <w:snapToGrid w:val="0"/>
        <w:spacing w:before="0" w:after="0" w:line="594" w:lineRule="exact"/>
        <w:ind w:firstLine="640"/>
        <w:jc w:val="both"/>
        <w:rPr>
          <w:rFonts w:ascii="黑体" w:hAnsi="黑体" w:eastAsia="黑体" w:cs="黑体"/>
          <w:b w:val="0"/>
          <w:bCs/>
          <w:color w:val="auto"/>
          <w:sz w:val="32"/>
          <w:szCs w:val="32"/>
        </w:rPr>
      </w:pPr>
      <w:bookmarkStart w:id="64" w:name="_Toc89330012"/>
      <w:bookmarkStart w:id="65" w:name="_Toc11144"/>
      <w:r>
        <w:rPr>
          <w:rFonts w:hint="eastAsia" w:ascii="黑体" w:hAnsi="黑体" w:eastAsia="黑体" w:cs="黑体"/>
          <w:b w:val="0"/>
          <w:bCs/>
          <w:color w:val="auto"/>
          <w:sz w:val="32"/>
          <w:szCs w:val="32"/>
        </w:rPr>
        <w:t>第十</w:t>
      </w:r>
      <w:r>
        <w:rPr>
          <w:rFonts w:hint="eastAsia" w:ascii="黑体" w:hAnsi="黑体" w:eastAsia="黑体" w:cs="黑体"/>
          <w:b w:val="0"/>
          <w:bCs/>
          <w:color w:val="auto"/>
          <w:sz w:val="32"/>
          <w:szCs w:val="32"/>
          <w:lang w:eastAsia="zh-CN"/>
        </w:rPr>
        <w:t>四</w:t>
      </w:r>
      <w:r>
        <w:rPr>
          <w:rFonts w:hint="eastAsia" w:ascii="黑体" w:hAnsi="黑体" w:eastAsia="黑体" w:cs="黑体"/>
          <w:b w:val="0"/>
          <w:bCs/>
          <w:color w:val="auto"/>
          <w:sz w:val="32"/>
          <w:szCs w:val="32"/>
        </w:rPr>
        <w:t>条  固定转售价格和限定最低转售价格</w:t>
      </w:r>
      <w:bookmarkEnd w:id="64"/>
      <w:bookmarkEnd w:id="65"/>
    </w:p>
    <w:p>
      <w:pPr>
        <w:widowControl/>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禁止药品经营者与交易相对人之间达成固定转售</w:t>
      </w:r>
      <w:r>
        <w:rPr>
          <w:rFonts w:hint="eastAsia" w:ascii="仿宋_GB2312" w:hAnsi="仿宋_GB2312" w:eastAsia="仿宋_GB2312" w:cs="仿宋_GB2312"/>
          <w:color w:val="auto"/>
          <w:sz w:val="32"/>
          <w:szCs w:val="32"/>
          <w:lang w:eastAsia="zh-CN"/>
        </w:rPr>
        <w:t>药品</w:t>
      </w:r>
      <w:r>
        <w:rPr>
          <w:rFonts w:hint="eastAsia" w:ascii="仿宋_GB2312" w:hAnsi="仿宋_GB2312" w:eastAsia="仿宋_GB2312" w:cs="仿宋_GB2312"/>
          <w:color w:val="auto"/>
          <w:sz w:val="32"/>
          <w:szCs w:val="32"/>
        </w:rPr>
        <w:t>价格或者限定转售</w:t>
      </w:r>
      <w:r>
        <w:rPr>
          <w:rFonts w:hint="eastAsia" w:ascii="仿宋_GB2312" w:hAnsi="仿宋_GB2312" w:eastAsia="仿宋_GB2312" w:cs="仿宋_GB2312"/>
          <w:color w:val="auto"/>
          <w:sz w:val="32"/>
          <w:szCs w:val="32"/>
          <w:lang w:eastAsia="zh-CN"/>
        </w:rPr>
        <w:t>药品最低</w:t>
      </w:r>
      <w:r>
        <w:rPr>
          <w:rFonts w:hint="eastAsia" w:ascii="仿宋_GB2312" w:hAnsi="仿宋_GB2312" w:eastAsia="仿宋_GB2312" w:cs="仿宋_GB2312"/>
          <w:color w:val="auto"/>
          <w:sz w:val="32"/>
          <w:szCs w:val="32"/>
        </w:rPr>
        <w:t>价格的垄断协议：</w:t>
      </w:r>
    </w:p>
    <w:p>
      <w:pPr>
        <w:numPr>
          <w:ilvl w:val="0"/>
          <w:numId w:val="2"/>
        </w:num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通过书面协议、口头约定、调价函、维价通知等形式固定交易相对人向第三人转售药品的价格水平、价格变动幅度等，或者限定最低价格水平、价格变动幅度等；</w:t>
      </w:r>
    </w:p>
    <w:p>
      <w:pPr>
        <w:numPr>
          <w:ilvl w:val="0"/>
          <w:numId w:val="3"/>
        </w:num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通过固定或者限定交易相对人利润水平或者折扣、返利、手续费等其他费用间接固定转售药品价格</w:t>
      </w:r>
      <w:r>
        <w:rPr>
          <w:rFonts w:hint="eastAsia" w:ascii="仿宋_GB2312" w:hAnsi="仿宋_GB2312" w:eastAsia="仿宋_GB2312" w:cs="仿宋_GB2312"/>
          <w:color w:val="auto"/>
          <w:sz w:val="32"/>
          <w:szCs w:val="32"/>
          <w:lang w:eastAsia="zh-CN"/>
        </w:rPr>
        <w:t>或者</w:t>
      </w:r>
      <w:r>
        <w:rPr>
          <w:rFonts w:hint="eastAsia" w:ascii="仿宋_GB2312" w:hAnsi="仿宋_GB2312" w:eastAsia="仿宋_GB2312" w:cs="仿宋_GB2312"/>
          <w:color w:val="auto"/>
          <w:sz w:val="32"/>
          <w:szCs w:val="32"/>
        </w:rPr>
        <w:t>限定转售</w:t>
      </w:r>
      <w:r>
        <w:rPr>
          <w:rFonts w:hint="eastAsia" w:ascii="仿宋_GB2312" w:hAnsi="仿宋_GB2312" w:eastAsia="仿宋_GB2312" w:cs="仿宋_GB2312"/>
          <w:color w:val="auto"/>
          <w:sz w:val="32"/>
          <w:szCs w:val="32"/>
          <w:lang w:eastAsia="zh-CN"/>
        </w:rPr>
        <w:t>药品的最低</w:t>
      </w:r>
      <w:r>
        <w:rPr>
          <w:rFonts w:hint="eastAsia" w:ascii="仿宋_GB2312" w:hAnsi="仿宋_GB2312" w:eastAsia="仿宋_GB2312" w:cs="仿宋_GB2312"/>
          <w:color w:val="auto"/>
          <w:sz w:val="32"/>
          <w:szCs w:val="32"/>
        </w:rPr>
        <w:t>价格；</w:t>
      </w:r>
    </w:p>
    <w:p>
      <w:pPr>
        <w:numPr>
          <w:ilvl w:val="0"/>
          <w:numId w:val="3"/>
        </w:num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通过</w:t>
      </w:r>
      <w:r>
        <w:rPr>
          <w:rFonts w:hint="eastAsia" w:ascii="仿宋_GB2312" w:hAnsi="仿宋_GB2312" w:eastAsia="仿宋_GB2312" w:cs="仿宋_GB2312"/>
          <w:color w:val="auto"/>
          <w:sz w:val="32"/>
          <w:szCs w:val="32"/>
        </w:rPr>
        <w:t>其他</w:t>
      </w:r>
      <w:r>
        <w:rPr>
          <w:rFonts w:hint="eastAsia" w:ascii="仿宋_GB2312" w:hAnsi="仿宋_GB2312" w:eastAsia="仿宋_GB2312" w:cs="仿宋_GB2312"/>
          <w:color w:val="auto"/>
          <w:sz w:val="32"/>
          <w:szCs w:val="32"/>
          <w:lang w:eastAsia="zh-CN"/>
        </w:rPr>
        <w:t>方式</w:t>
      </w:r>
      <w:r>
        <w:rPr>
          <w:rFonts w:hint="eastAsia" w:ascii="仿宋_GB2312" w:hAnsi="仿宋_GB2312" w:eastAsia="仿宋_GB2312" w:cs="仿宋_GB2312"/>
          <w:color w:val="auto"/>
          <w:sz w:val="32"/>
          <w:szCs w:val="32"/>
        </w:rPr>
        <w:t>固定转售药品价格</w:t>
      </w:r>
      <w:r>
        <w:rPr>
          <w:rFonts w:hint="eastAsia" w:ascii="仿宋_GB2312" w:hAnsi="仿宋_GB2312" w:eastAsia="仿宋_GB2312" w:cs="仿宋_GB2312"/>
          <w:color w:val="auto"/>
          <w:sz w:val="32"/>
          <w:szCs w:val="32"/>
          <w:lang w:eastAsia="zh-CN"/>
        </w:rPr>
        <w:t>或者</w:t>
      </w:r>
      <w:r>
        <w:rPr>
          <w:rFonts w:hint="eastAsia" w:ascii="仿宋_GB2312" w:hAnsi="仿宋_GB2312" w:eastAsia="仿宋_GB2312" w:cs="仿宋_GB2312"/>
          <w:color w:val="auto"/>
          <w:sz w:val="32"/>
          <w:szCs w:val="32"/>
        </w:rPr>
        <w:t>限定</w:t>
      </w:r>
      <w:r>
        <w:rPr>
          <w:rFonts w:hint="eastAsia" w:ascii="仿宋_GB2312" w:hAnsi="仿宋_GB2312" w:eastAsia="仿宋_GB2312" w:cs="仿宋_GB2312"/>
          <w:color w:val="auto"/>
          <w:sz w:val="32"/>
          <w:szCs w:val="32"/>
          <w:lang w:eastAsia="zh-CN"/>
        </w:rPr>
        <w:t>转售药品最低</w:t>
      </w:r>
      <w:r>
        <w:rPr>
          <w:rFonts w:hint="eastAsia" w:ascii="仿宋_GB2312" w:hAnsi="仿宋_GB2312" w:eastAsia="仿宋_GB2312" w:cs="仿宋_GB2312"/>
          <w:color w:val="auto"/>
          <w:sz w:val="32"/>
          <w:szCs w:val="32"/>
        </w:rPr>
        <w:t>价格。</w:t>
      </w:r>
    </w:p>
    <w:p>
      <w:pPr>
        <w:snapToGrid w:val="0"/>
        <w:spacing w:after="0" w:line="594" w:lineRule="exact"/>
        <w:ind w:firstLine="64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药品经营者以减少返利或者折扣、收取违约金或者保证金、拒绝供货、解除协议等惩罚措施，或者以给予返利、优先供货、提供支持等奖励措施，对交易相对人进行转售价格限</w:t>
      </w:r>
      <w:r>
        <w:rPr>
          <w:rFonts w:hint="eastAsia" w:ascii="仿宋_GB2312" w:hAnsi="仿宋_GB2312" w:eastAsia="仿宋_GB2312" w:cs="仿宋_GB2312"/>
          <w:color w:val="auto"/>
          <w:sz w:val="32"/>
          <w:szCs w:val="32"/>
          <w:lang w:eastAsia="zh-CN"/>
        </w:rPr>
        <w:t>定</w:t>
      </w:r>
      <w:r>
        <w:rPr>
          <w:rFonts w:hint="eastAsia" w:ascii="仿宋_GB2312" w:hAnsi="仿宋_GB2312" w:eastAsia="仿宋_GB2312" w:cs="仿宋_GB2312"/>
          <w:color w:val="auto"/>
          <w:sz w:val="32"/>
          <w:szCs w:val="32"/>
        </w:rPr>
        <w:t>，以及通过检查交易相对人销售记录和发票、聘请第三方或者借助数据和算法等手段进行价格监测，</w:t>
      </w:r>
      <w:r>
        <w:rPr>
          <w:rFonts w:hint="eastAsia" w:ascii="仿宋_GB2312" w:hAnsi="仿宋_GB2312" w:eastAsia="仿宋_GB2312" w:cs="仿宋_GB2312"/>
          <w:color w:val="auto"/>
          <w:sz w:val="32"/>
          <w:szCs w:val="32"/>
          <w:lang w:eastAsia="zh-CN"/>
        </w:rPr>
        <w:t>属于</w:t>
      </w:r>
      <w:r>
        <w:rPr>
          <w:rFonts w:hint="eastAsia" w:ascii="仿宋_GB2312" w:hAnsi="仿宋_GB2312" w:eastAsia="仿宋_GB2312" w:cs="仿宋_GB2312"/>
          <w:color w:val="auto"/>
          <w:sz w:val="32"/>
          <w:szCs w:val="32"/>
        </w:rPr>
        <w:t>为实施垄断协议而设置的强制、变相强制或者监督措施。</w:t>
      </w:r>
    </w:p>
    <w:p>
      <w:pPr>
        <w:snapToGrid w:val="0"/>
        <w:spacing w:after="0" w:line="594" w:lineRule="exact"/>
        <w:ind w:firstLine="640"/>
        <w:jc w:val="both"/>
        <w:rPr>
          <w:rFonts w:hint="eastAsia" w:ascii="仿宋_GB2312" w:hAnsi="仿宋_GB2312" w:eastAsia="仿宋_GB2312" w:cs="仿宋_GB2312"/>
          <w:color w:val="auto"/>
          <w:sz w:val="32"/>
          <w:szCs w:val="32"/>
          <w:shd w:val="clear"/>
          <w:lang w:eastAsia="zh-CN"/>
        </w:rPr>
      </w:pPr>
      <w:r>
        <w:rPr>
          <w:rFonts w:hint="eastAsia" w:ascii="仿宋_GB2312" w:hAnsi="仿宋_GB2312" w:eastAsia="仿宋_GB2312" w:cs="仿宋_GB2312"/>
          <w:color w:val="auto"/>
          <w:sz w:val="32"/>
          <w:szCs w:val="32"/>
        </w:rPr>
        <w:t>药品经营者与交易相对人达成上述协议的，反垄断执法机构推定协议具有排除、限制竞争效果，构成垄断协议。药品经营者能够证明协议不具有排除、限制竞争效果的，不予禁止</w:t>
      </w:r>
      <w:r>
        <w:rPr>
          <w:rFonts w:hint="eastAsia" w:ascii="仿宋_GB2312" w:hAnsi="仿宋_GB2312" w:eastAsia="仿宋_GB2312" w:cs="仿宋_GB2312"/>
          <w:color w:val="auto"/>
          <w:sz w:val="32"/>
          <w:szCs w:val="32"/>
          <w:shd w:val="clear"/>
        </w:rPr>
        <w:t>。</w:t>
      </w:r>
      <w:bookmarkStart w:id="66" w:name="OLE_LINK7"/>
      <w:r>
        <w:rPr>
          <w:rFonts w:hint="eastAsia" w:ascii="仿宋_GB2312" w:hAnsi="仿宋_GB2312" w:eastAsia="仿宋_GB2312" w:cs="仿宋_GB2312"/>
          <w:color w:val="auto"/>
          <w:sz w:val="32"/>
          <w:szCs w:val="32"/>
          <w:shd w:val="clear" w:fill="auto"/>
          <w:lang w:eastAsia="zh-CN"/>
        </w:rPr>
        <w:t>药品经营者</w:t>
      </w:r>
      <w:r>
        <w:rPr>
          <w:rFonts w:hint="eastAsia" w:ascii="仿宋_GB2312" w:hAnsi="仿宋_GB2312" w:eastAsia="仿宋_GB2312" w:cs="仿宋_GB2312"/>
          <w:color w:val="auto"/>
          <w:sz w:val="32"/>
          <w:szCs w:val="32"/>
          <w:shd w:val="clear"/>
        </w:rPr>
        <w:t>证明协议不具有排除、限制竞争效果</w:t>
      </w:r>
      <w:r>
        <w:rPr>
          <w:rFonts w:hint="eastAsia" w:ascii="仿宋_GB2312" w:hAnsi="仿宋_GB2312" w:eastAsia="仿宋_GB2312" w:cs="仿宋_GB2312"/>
          <w:color w:val="auto"/>
          <w:sz w:val="32"/>
          <w:szCs w:val="32"/>
          <w:shd w:val="clear"/>
          <w:lang w:eastAsia="zh-CN"/>
        </w:rPr>
        <w:t>，需提供</w:t>
      </w:r>
      <w:r>
        <w:rPr>
          <w:rFonts w:hint="eastAsia" w:ascii="仿宋_GB2312" w:hAnsi="仿宋_GB2312" w:eastAsia="仿宋_GB2312" w:cs="仿宋_GB2312"/>
          <w:color w:val="auto"/>
          <w:sz w:val="32"/>
          <w:szCs w:val="32"/>
          <w:shd w:val="clear" w:fill="auto"/>
          <w:lang w:eastAsia="zh-CN"/>
        </w:rPr>
        <w:t>证据证明该协议不会限制品牌内和品牌间竞争且</w:t>
      </w:r>
      <w:r>
        <w:rPr>
          <w:rFonts w:hint="eastAsia" w:ascii="仿宋_GB2312" w:hAnsi="仿宋_GB2312" w:eastAsia="仿宋_GB2312" w:cs="仿宋_GB2312"/>
          <w:color w:val="auto"/>
          <w:sz w:val="32"/>
          <w:szCs w:val="32"/>
          <w:shd w:val="clear"/>
          <w:lang w:eastAsia="zh-CN"/>
        </w:rPr>
        <w:t>不会</w:t>
      </w:r>
      <w:r>
        <w:rPr>
          <w:rFonts w:hint="eastAsia" w:ascii="仿宋_GB2312" w:hAnsi="仿宋_GB2312" w:eastAsia="仿宋_GB2312" w:cs="仿宋_GB2312"/>
          <w:color w:val="auto"/>
          <w:sz w:val="32"/>
          <w:szCs w:val="32"/>
          <w:shd w:val="clear" w:fill="auto"/>
          <w:lang w:eastAsia="zh-CN"/>
        </w:rPr>
        <w:t>产生不利竞争的累积效果，不会产生提高药品价格、减少药品</w:t>
      </w:r>
      <w:r>
        <w:rPr>
          <w:rFonts w:hint="eastAsia" w:ascii="仿宋_GB2312" w:hAnsi="仿宋_GB2312" w:eastAsia="仿宋_GB2312" w:cs="仿宋_GB2312"/>
          <w:color w:val="auto"/>
          <w:sz w:val="32"/>
          <w:szCs w:val="32"/>
          <w:shd w:val="clear"/>
          <w:lang w:eastAsia="zh-CN"/>
        </w:rPr>
        <w:t>供应</w:t>
      </w:r>
      <w:r>
        <w:rPr>
          <w:rFonts w:hint="eastAsia" w:ascii="仿宋_GB2312" w:hAnsi="仿宋_GB2312" w:eastAsia="仿宋_GB2312" w:cs="仿宋_GB2312"/>
          <w:color w:val="auto"/>
          <w:sz w:val="32"/>
          <w:szCs w:val="32"/>
          <w:shd w:val="clear" w:fill="auto"/>
          <w:lang w:eastAsia="zh-CN"/>
        </w:rPr>
        <w:t>、增加</w:t>
      </w:r>
      <w:r>
        <w:rPr>
          <w:rFonts w:hint="eastAsia" w:ascii="仿宋_GB2312" w:hAnsi="仿宋_GB2312" w:eastAsia="仿宋_GB2312" w:cs="仿宋_GB2312"/>
          <w:color w:val="auto"/>
          <w:sz w:val="32"/>
          <w:szCs w:val="32"/>
          <w:shd w:val="clear"/>
          <w:lang w:eastAsia="zh-CN"/>
        </w:rPr>
        <w:t>药品</w:t>
      </w:r>
      <w:r>
        <w:rPr>
          <w:rFonts w:hint="eastAsia" w:ascii="仿宋_GB2312" w:hAnsi="仿宋_GB2312" w:eastAsia="仿宋_GB2312" w:cs="仿宋_GB2312"/>
          <w:color w:val="auto"/>
          <w:sz w:val="32"/>
          <w:szCs w:val="32"/>
          <w:shd w:val="clear" w:fill="auto"/>
          <w:lang w:eastAsia="zh-CN"/>
        </w:rPr>
        <w:t>市场进入难度等后果。</w:t>
      </w:r>
    </w:p>
    <w:bookmarkEnd w:id="66"/>
    <w:p>
      <w:pPr>
        <w:numPr>
          <w:ilvl w:val="0"/>
          <w:numId w:val="0"/>
        </w:numPr>
        <w:snapToGrid w:val="0"/>
        <w:spacing w:before="0" w:after="0" w:line="594" w:lineRule="exact"/>
        <w:ind w:firstLine="640" w:firstLineChars="200"/>
        <w:jc w:val="both"/>
        <w:rPr>
          <w:rFonts w:ascii="黑体" w:hAnsi="黑体" w:eastAsia="黑体" w:cs="黑体"/>
          <w:b w:val="0"/>
          <w:bCs/>
          <w:color w:val="auto"/>
          <w:sz w:val="32"/>
          <w:szCs w:val="32"/>
        </w:rPr>
      </w:pPr>
      <w:bookmarkStart w:id="67" w:name="_Toc1708284113"/>
      <w:bookmarkStart w:id="68" w:name="_Toc954249532"/>
      <w:bookmarkStart w:id="69" w:name="_Toc278442431"/>
      <w:bookmarkStart w:id="70" w:name="_Toc10717"/>
      <w:bookmarkStart w:id="71" w:name="_Toc159915341"/>
      <w:r>
        <w:rPr>
          <w:rFonts w:hint="eastAsia" w:ascii="黑体" w:hAnsi="黑体" w:eastAsia="黑体" w:cs="黑体"/>
          <w:b w:val="0"/>
          <w:bCs/>
          <w:color w:val="auto"/>
          <w:sz w:val="32"/>
          <w:szCs w:val="32"/>
        </w:rPr>
        <w:t>第十</w:t>
      </w:r>
      <w:r>
        <w:rPr>
          <w:rFonts w:hint="eastAsia" w:ascii="黑体" w:hAnsi="黑体" w:eastAsia="黑体" w:cs="黑体"/>
          <w:b w:val="0"/>
          <w:bCs/>
          <w:color w:val="auto"/>
          <w:sz w:val="32"/>
          <w:szCs w:val="32"/>
          <w:lang w:eastAsia="zh-CN"/>
        </w:rPr>
        <w:t>五</w:t>
      </w:r>
      <w:r>
        <w:rPr>
          <w:rFonts w:hint="eastAsia" w:ascii="黑体" w:hAnsi="黑体" w:eastAsia="黑体" w:cs="黑体"/>
          <w:b w:val="0"/>
          <w:bCs/>
          <w:color w:val="auto"/>
          <w:sz w:val="32"/>
          <w:szCs w:val="32"/>
        </w:rPr>
        <w:t>条  不构成垄断协议的情形</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药品经营者从事以下行为，一般不构成《反垄断法》第十八条规定的垄断协议：</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（一）委托他人代理药品销售业务，并设置销售价格或者其他与代理业务相关的交易条件的；</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（二）根据药品集中采购规则，在药品集中采购项目中由</w:t>
      </w:r>
      <w:bookmarkStart w:id="72" w:name="OLE_LINK9"/>
      <w:r>
        <w:rPr>
          <w:rFonts w:hint="eastAsia" w:ascii="仿宋_GB2312" w:hAnsi="仿宋_GB2312" w:eastAsia="仿宋_GB2312" w:cs="仿宋_GB2312"/>
          <w:color w:val="auto"/>
          <w:sz w:val="32"/>
          <w:szCs w:val="32"/>
        </w:rPr>
        <w:t>药品经营者</w:t>
      </w:r>
      <w:bookmarkEnd w:id="72"/>
      <w:r>
        <w:rPr>
          <w:rFonts w:hint="eastAsia" w:ascii="仿宋_GB2312" w:hAnsi="仿宋_GB2312" w:eastAsia="仿宋_GB2312" w:cs="仿宋_GB2312"/>
          <w:color w:val="auto"/>
          <w:sz w:val="32"/>
          <w:szCs w:val="32"/>
        </w:rPr>
        <w:t>进行投标和议价，</w:t>
      </w:r>
      <w:r>
        <w:rPr>
          <w:rFonts w:hint="eastAsia" w:ascii="仿宋_GB2312" w:hAnsi="仿宋_GB2312" w:eastAsia="仿宋_GB2312" w:cs="仿宋_GB2312"/>
          <w:color w:val="auto"/>
          <w:sz w:val="32"/>
          <w:szCs w:val="32"/>
          <w:lang w:eastAsia="zh-CN"/>
        </w:rPr>
        <w:t>其交易相对人</w:t>
      </w:r>
      <w:r>
        <w:rPr>
          <w:rFonts w:hint="eastAsia" w:ascii="仿宋_GB2312" w:hAnsi="仿宋_GB2312" w:eastAsia="仿宋_GB2312" w:cs="仿宋_GB2312"/>
          <w:color w:val="auto"/>
          <w:sz w:val="32"/>
          <w:szCs w:val="32"/>
        </w:rPr>
        <w:t>根据该价格向集中采购范围内的终端医疗机构销售药品的；</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w:t>
      </w:r>
      <w:r>
        <w:rPr>
          <w:rFonts w:hint="eastAsia" w:ascii="仿宋_GB2312" w:hAnsi="仿宋_GB2312" w:eastAsia="仿宋_GB2312" w:cs="仿宋_GB2312"/>
          <w:strike w:val="0"/>
          <w:color w:val="auto"/>
          <w:sz w:val="32"/>
          <w:szCs w:val="32"/>
          <w:lang w:eastAsia="zh-CN"/>
        </w:rPr>
        <w:t>药品经营者</w:t>
      </w:r>
      <w:r>
        <w:rPr>
          <w:rFonts w:hint="eastAsia" w:ascii="仿宋_GB2312" w:hAnsi="仿宋_GB2312" w:eastAsia="仿宋_GB2312" w:cs="仿宋_GB2312"/>
          <w:color w:val="auto"/>
          <w:sz w:val="32"/>
          <w:szCs w:val="32"/>
        </w:rPr>
        <w:t>负责药品销售、推广等业务并决定销售价格，</w:t>
      </w:r>
      <w:r>
        <w:rPr>
          <w:rFonts w:hint="eastAsia" w:ascii="仿宋_GB2312" w:hAnsi="仿宋_GB2312" w:eastAsia="仿宋_GB2312" w:cs="仿宋_GB2312"/>
          <w:color w:val="auto"/>
          <w:sz w:val="32"/>
          <w:szCs w:val="32"/>
          <w:lang w:eastAsia="zh-CN"/>
        </w:rPr>
        <w:t>其交易相对人</w:t>
      </w:r>
      <w:r>
        <w:rPr>
          <w:rFonts w:hint="eastAsia" w:ascii="仿宋_GB2312" w:hAnsi="仿宋_GB2312" w:eastAsia="仿宋_GB2312" w:cs="仿宋_GB2312"/>
          <w:color w:val="auto"/>
          <w:sz w:val="32"/>
          <w:szCs w:val="32"/>
        </w:rPr>
        <w:t>仅提供进口、配送、收款、开票、技术支持等辅助服务的。</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前款第一项所称代理，指药品经营者不转移药品所有权并自行承担销售风险的代理行为，不包括名为代理实为销售的包销、经销等行为。</w:t>
      </w:r>
    </w:p>
    <w:p>
      <w:pPr>
        <w:pStyle w:val="4"/>
        <w:snapToGrid w:val="0"/>
        <w:spacing w:before="0" w:after="0" w:line="594" w:lineRule="exact"/>
        <w:ind w:firstLine="640"/>
        <w:jc w:val="both"/>
        <w:rPr>
          <w:rFonts w:ascii="黑体" w:hAnsi="黑体" w:eastAsia="黑体" w:cs="黑体"/>
          <w:b w:val="0"/>
          <w:bCs/>
          <w:color w:val="auto"/>
          <w:sz w:val="32"/>
          <w:szCs w:val="32"/>
        </w:rPr>
      </w:pPr>
      <w:r>
        <w:rPr>
          <w:rFonts w:hint="eastAsia" w:ascii="黑体" w:hAnsi="黑体" w:eastAsia="黑体" w:cs="黑体"/>
          <w:b w:val="0"/>
          <w:bCs/>
          <w:color w:val="auto"/>
          <w:sz w:val="32"/>
          <w:szCs w:val="32"/>
        </w:rPr>
        <w:t>第十</w:t>
      </w:r>
      <w:r>
        <w:rPr>
          <w:rFonts w:hint="eastAsia" w:ascii="黑体" w:hAnsi="黑体" w:eastAsia="黑体" w:cs="黑体"/>
          <w:b w:val="0"/>
          <w:bCs/>
          <w:color w:val="auto"/>
          <w:sz w:val="32"/>
          <w:szCs w:val="32"/>
          <w:lang w:eastAsia="zh-CN"/>
        </w:rPr>
        <w:t>六</w:t>
      </w:r>
      <w:r>
        <w:rPr>
          <w:rFonts w:hint="eastAsia" w:ascii="黑体" w:hAnsi="黑体" w:eastAsia="黑体" w:cs="黑体"/>
          <w:b w:val="0"/>
          <w:bCs/>
          <w:color w:val="auto"/>
          <w:sz w:val="32"/>
          <w:szCs w:val="32"/>
        </w:rPr>
        <w:t>条</w:t>
      </w:r>
      <w:bookmarkEnd w:id="67"/>
      <w:r>
        <w:rPr>
          <w:rFonts w:hint="eastAsia" w:ascii="黑体" w:hAnsi="黑体" w:eastAsia="黑体" w:cs="黑体"/>
          <w:b w:val="0"/>
          <w:bCs/>
          <w:color w:val="auto"/>
          <w:sz w:val="32"/>
          <w:szCs w:val="32"/>
        </w:rPr>
        <w:t xml:space="preserve">  其他垄断协议</w:t>
      </w:r>
      <w:bookmarkEnd w:id="68"/>
      <w:bookmarkEnd w:id="69"/>
      <w:bookmarkEnd w:id="70"/>
      <w:bookmarkEnd w:id="71"/>
    </w:p>
    <w:p>
      <w:pPr>
        <w:snapToGrid w:val="0"/>
        <w:spacing w:after="0" w:line="594" w:lineRule="exact"/>
        <w:ind w:firstLine="640"/>
        <w:jc w:val="both"/>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药品经营者达成的协议、决定或者其他协同行为，不属于本指南第</w:t>
      </w:r>
      <w:r>
        <w:rPr>
          <w:rFonts w:hint="eastAsia" w:ascii="仿宋_GB2312" w:hAnsi="仿宋_GB2312" w:eastAsia="仿宋_GB2312" w:cs="仿宋_GB2312"/>
          <w:color w:val="auto"/>
          <w:sz w:val="32"/>
          <w:szCs w:val="32"/>
          <w:lang w:eastAsia="zh-CN"/>
        </w:rPr>
        <w:t>八</w:t>
      </w:r>
      <w:r>
        <w:rPr>
          <w:rFonts w:ascii="仿宋_GB2312" w:hAnsi="仿宋_GB2312" w:eastAsia="仿宋_GB2312" w:cs="仿宋_GB2312"/>
          <w:color w:val="auto"/>
          <w:sz w:val="32"/>
          <w:szCs w:val="32"/>
        </w:rPr>
        <w:t>条至第十</w:t>
      </w:r>
      <w:r>
        <w:rPr>
          <w:rFonts w:hint="eastAsia" w:ascii="仿宋_GB2312" w:hAnsi="仿宋_GB2312" w:eastAsia="仿宋_GB2312" w:cs="仿宋_GB2312"/>
          <w:color w:val="auto"/>
          <w:sz w:val="32"/>
          <w:szCs w:val="32"/>
          <w:lang w:eastAsia="zh-CN"/>
        </w:rPr>
        <w:t>二</w:t>
      </w:r>
      <w:r>
        <w:rPr>
          <w:rFonts w:ascii="仿宋_GB2312" w:hAnsi="仿宋_GB2312" w:eastAsia="仿宋_GB2312" w:cs="仿宋_GB2312"/>
          <w:color w:val="auto"/>
          <w:sz w:val="32"/>
          <w:szCs w:val="32"/>
        </w:rPr>
        <w:t>条</w:t>
      </w:r>
      <w:r>
        <w:rPr>
          <w:rFonts w:hint="eastAsia" w:ascii="仿宋_GB2312" w:hAnsi="仿宋_GB2312" w:eastAsia="仿宋_GB2312" w:cs="仿宋_GB2312"/>
          <w:color w:val="auto"/>
          <w:sz w:val="32"/>
          <w:szCs w:val="32"/>
        </w:rPr>
        <w:t>、第十</w:t>
      </w:r>
      <w:r>
        <w:rPr>
          <w:rFonts w:hint="eastAsia" w:ascii="仿宋_GB2312" w:hAnsi="仿宋_GB2312" w:eastAsia="仿宋_GB2312" w:cs="仿宋_GB2312"/>
          <w:color w:val="auto"/>
          <w:sz w:val="32"/>
          <w:szCs w:val="32"/>
          <w:lang w:eastAsia="zh-CN"/>
        </w:rPr>
        <w:t>四</w:t>
      </w:r>
      <w:r>
        <w:rPr>
          <w:rFonts w:hint="eastAsia" w:ascii="仿宋_GB2312" w:hAnsi="仿宋_GB2312" w:eastAsia="仿宋_GB2312" w:cs="仿宋_GB2312"/>
          <w:color w:val="auto"/>
          <w:sz w:val="32"/>
          <w:szCs w:val="32"/>
        </w:rPr>
        <w:t>条</w:t>
      </w:r>
      <w:r>
        <w:rPr>
          <w:rFonts w:ascii="仿宋_GB2312" w:hAnsi="仿宋_GB2312" w:eastAsia="仿宋_GB2312" w:cs="仿宋_GB2312"/>
          <w:color w:val="auto"/>
          <w:sz w:val="32"/>
          <w:szCs w:val="32"/>
        </w:rPr>
        <w:t>所列情形，但有证据证明排除、限制竞争的，应当认定为垄断协议并予以禁止。国务院反垄断执法机构</w:t>
      </w:r>
      <w:bookmarkStart w:id="73" w:name="OLE_LINK3"/>
      <w:r>
        <w:rPr>
          <w:rFonts w:hint="eastAsia" w:ascii="仿宋_GB2312" w:hAnsi="仿宋_GB2312" w:eastAsia="仿宋_GB2312" w:cs="仿宋_GB2312"/>
          <w:color w:val="auto"/>
          <w:sz w:val="32"/>
          <w:szCs w:val="32"/>
          <w:lang w:eastAsia="zh-CN"/>
        </w:rPr>
        <w:t>依据</w:t>
      </w:r>
      <w:r>
        <w:rPr>
          <w:rFonts w:ascii="仿宋_GB2312" w:hAnsi="仿宋_GB2312" w:eastAsia="仿宋_GB2312" w:cs="仿宋_GB2312"/>
          <w:color w:val="auto"/>
          <w:sz w:val="32"/>
          <w:szCs w:val="32"/>
        </w:rPr>
        <w:t>《禁止垄断协议规定》</w:t>
      </w:r>
      <w:r>
        <w:rPr>
          <w:rFonts w:hint="eastAsia" w:ascii="仿宋_GB2312" w:hAnsi="仿宋_GB2312" w:eastAsia="仿宋_GB2312" w:cs="仿宋_GB2312"/>
          <w:color w:val="auto"/>
          <w:sz w:val="32"/>
          <w:szCs w:val="32"/>
        </w:rPr>
        <w:t>第十六条</w:t>
      </w:r>
      <w:bookmarkEnd w:id="73"/>
      <w:r>
        <w:rPr>
          <w:rFonts w:ascii="仿宋_GB2312" w:hAnsi="仿宋_GB2312" w:eastAsia="仿宋_GB2312" w:cs="仿宋_GB2312"/>
          <w:color w:val="auto"/>
          <w:sz w:val="32"/>
          <w:szCs w:val="32"/>
        </w:rPr>
        <w:t>认定</w:t>
      </w:r>
      <w:r>
        <w:rPr>
          <w:rFonts w:hint="eastAsia" w:ascii="仿宋_GB2312" w:hAnsi="仿宋_GB2312" w:eastAsia="仿宋_GB2312" w:cs="仿宋_GB2312"/>
          <w:color w:val="auto"/>
          <w:sz w:val="32"/>
          <w:szCs w:val="32"/>
        </w:rPr>
        <w:t>前述垄断协议。</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药品经营者的下列行为，可能构成《反垄断法》第十八条第一款第三项禁止的垄断协议：</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（一）限定交易相对人只能在特定区域、向特定客户或者通过特定渠道销售药品；</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（二）与交易相对人达成协议，约定交易相对人在特定的期限和地域内对特定药品进行独家销售；</w:t>
      </w:r>
    </w:p>
    <w:p>
      <w:pPr>
        <w:snapToGrid w:val="0"/>
        <w:spacing w:after="0" w:line="594" w:lineRule="exact"/>
        <w:ind w:firstLine="640"/>
        <w:jc w:val="both"/>
        <w:rPr>
          <w:rFonts w:ascii="仿宋_GB2312" w:hAnsi="仿宋_GB2312" w:eastAsia="仿宋_GB2312" w:cs="仿宋_GB2312"/>
          <w:color w:val="auto"/>
          <w:kern w:val="0"/>
          <w:sz w:val="32"/>
          <w:szCs w:val="32"/>
          <w:lang w:bidi="ar"/>
        </w:rPr>
      </w:pPr>
      <w:r>
        <w:rPr>
          <w:rFonts w:hint="eastAsia" w:ascii="仿宋_GB2312" w:hAnsi="仿宋_GB2312" w:eastAsia="仿宋_GB2312" w:cs="仿宋_GB2312"/>
          <w:color w:val="auto"/>
          <w:sz w:val="32"/>
          <w:szCs w:val="32"/>
        </w:rPr>
        <w:t>（三）通过合同规定、返利优惠、低价供应其他产品等方式要求、变相要求或者鼓励交易相对人只能或者主要购买、销售其指定药品。</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国务院反垄断执法机构认定药品经营者与交易相对人达成的前款协议构成垄断协议的，会综合考虑协议是否具有排除、限制竞争效果。</w:t>
      </w:r>
    </w:p>
    <w:p>
      <w:pPr>
        <w:snapToGrid w:val="0"/>
        <w:spacing w:after="0" w:line="594" w:lineRule="exact"/>
        <w:ind w:firstLine="640"/>
        <w:jc w:val="both"/>
        <w:rPr>
          <w:rFonts w:ascii="黑体" w:hAnsi="黑体" w:eastAsia="黑体" w:cs="黑体"/>
          <w:bCs/>
          <w:color w:val="auto"/>
          <w:sz w:val="32"/>
          <w:szCs w:val="32"/>
        </w:rPr>
      </w:pPr>
      <w:bookmarkStart w:id="74" w:name="_Toc19533"/>
      <w:bookmarkStart w:id="75" w:name="_Toc1666300284"/>
      <w:bookmarkStart w:id="76" w:name="_Toc1422210448"/>
      <w:bookmarkStart w:id="77" w:name="_Toc1071478772"/>
      <w:bookmarkStart w:id="78" w:name="_Toc159915343"/>
      <w:r>
        <w:rPr>
          <w:rFonts w:hint="eastAsia" w:ascii="黑体" w:hAnsi="黑体" w:eastAsia="黑体" w:cs="黑体"/>
          <w:bCs/>
          <w:color w:val="auto"/>
          <w:sz w:val="32"/>
          <w:szCs w:val="32"/>
        </w:rPr>
        <w:t>第十</w:t>
      </w:r>
      <w:r>
        <w:rPr>
          <w:rFonts w:hint="eastAsia" w:ascii="黑体" w:hAnsi="黑体" w:eastAsia="黑体" w:cs="黑体"/>
          <w:bCs/>
          <w:color w:val="auto"/>
          <w:sz w:val="32"/>
          <w:szCs w:val="32"/>
          <w:lang w:eastAsia="zh-CN"/>
        </w:rPr>
        <w:t>七</w:t>
      </w:r>
      <w:r>
        <w:rPr>
          <w:rFonts w:hint="eastAsia" w:ascii="黑体" w:hAnsi="黑体" w:eastAsia="黑体" w:cs="黑体"/>
          <w:bCs/>
          <w:color w:val="auto"/>
          <w:sz w:val="32"/>
          <w:szCs w:val="32"/>
        </w:rPr>
        <w:t>条  经营者的组织</w:t>
      </w:r>
      <w:r>
        <w:rPr>
          <w:rFonts w:hint="eastAsia" w:ascii="黑体" w:hAnsi="黑体" w:eastAsia="黑体" w:cs="黑体"/>
          <w:bCs/>
          <w:color w:val="auto"/>
          <w:sz w:val="32"/>
          <w:szCs w:val="32"/>
          <w:lang w:eastAsia="zh-CN"/>
        </w:rPr>
        <w:t>和</w:t>
      </w:r>
      <w:r>
        <w:rPr>
          <w:rFonts w:hint="eastAsia" w:ascii="黑体" w:hAnsi="黑体" w:eastAsia="黑体" w:cs="黑体"/>
          <w:bCs/>
          <w:color w:val="auto"/>
          <w:sz w:val="32"/>
          <w:szCs w:val="32"/>
        </w:rPr>
        <w:t>实质性帮助行为</w:t>
      </w:r>
      <w:bookmarkEnd w:id="74"/>
      <w:bookmarkEnd w:id="75"/>
      <w:bookmarkEnd w:id="76"/>
      <w:bookmarkEnd w:id="77"/>
      <w:bookmarkEnd w:id="78"/>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经营者的下列行为，可能构成《反垄断法》第十九条禁止的组织、实质性帮助行为：</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（一）提供药品网络交易平台服务的经营者或者其他第三方</w:t>
      </w:r>
      <w:r>
        <w:rPr>
          <w:rFonts w:hint="eastAsia" w:ascii="仿宋_GB2312" w:hAnsi="仿宋_GB2312" w:eastAsia="仿宋_GB2312" w:cs="仿宋_GB2312"/>
          <w:color w:val="auto"/>
          <w:sz w:val="32"/>
          <w:szCs w:val="32"/>
          <w:lang w:eastAsia="zh-CN"/>
        </w:rPr>
        <w:t>经营者</w:t>
      </w:r>
      <w:r>
        <w:rPr>
          <w:rFonts w:hint="eastAsia" w:ascii="仿宋_GB2312" w:hAnsi="仿宋_GB2312" w:eastAsia="仿宋_GB2312" w:cs="仿宋_GB2312"/>
          <w:color w:val="auto"/>
          <w:sz w:val="32"/>
          <w:szCs w:val="32"/>
        </w:rPr>
        <w:t>在药品经营者达成或者实施垄断协议过程中，对协议的主体范围、主要内容、履行条件等具有决定性或者主导作用；</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（二）组织、协调或者促成具有竞争关系的药品经营者获得或者交流竞争</w:t>
      </w:r>
      <w:r>
        <w:rPr>
          <w:rFonts w:hint="eastAsia" w:ascii="仿宋_GB2312" w:hAnsi="仿宋_GB2312" w:eastAsia="仿宋_GB2312" w:cs="仿宋_GB2312"/>
          <w:color w:val="auto"/>
          <w:sz w:val="32"/>
          <w:szCs w:val="32"/>
          <w:lang w:eastAsia="zh-CN"/>
        </w:rPr>
        <w:t>性</w:t>
      </w:r>
      <w:r>
        <w:rPr>
          <w:rFonts w:hint="eastAsia" w:ascii="仿宋_GB2312" w:hAnsi="仿宋_GB2312" w:eastAsia="仿宋_GB2312" w:cs="仿宋_GB2312"/>
          <w:color w:val="auto"/>
          <w:sz w:val="32"/>
          <w:szCs w:val="32"/>
        </w:rPr>
        <w:t>敏感信息，进行意思联络，达成或者实施垄断协议；</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（三）通过提供价格监测服务，或者利用平台规则、数据和算法等为垄断协议的达成或者实施提供必要的支持、创造关键性的便利条件或者提供其他重要帮助；</w:t>
      </w:r>
    </w:p>
    <w:p>
      <w:pPr>
        <w:snapToGrid w:val="0"/>
        <w:spacing w:after="0" w:line="594" w:lineRule="exact"/>
        <w:ind w:firstLine="64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（四）通过其他方式组织达成垄断协议</w:t>
      </w:r>
      <w:r>
        <w:rPr>
          <w:rFonts w:hint="eastAsia" w:ascii="仿宋_GB2312" w:hAnsi="仿宋_GB2312" w:eastAsia="仿宋_GB2312" w:cs="仿宋_GB2312"/>
          <w:color w:val="auto"/>
          <w:sz w:val="32"/>
          <w:szCs w:val="32"/>
          <w:lang w:eastAsia="zh-CN"/>
        </w:rPr>
        <w:t>或者提供实质性帮助</w:t>
      </w:r>
      <w:r>
        <w:rPr>
          <w:rFonts w:hint="eastAsia" w:ascii="仿宋_GB2312" w:hAnsi="仿宋_GB2312" w:eastAsia="仿宋_GB2312" w:cs="仿宋_GB2312"/>
          <w:color w:val="auto"/>
          <w:sz w:val="32"/>
          <w:szCs w:val="32"/>
        </w:rPr>
        <w:t>。</w:t>
      </w:r>
    </w:p>
    <w:p>
      <w:pPr>
        <w:pStyle w:val="4"/>
        <w:snapToGrid w:val="0"/>
        <w:spacing w:before="0" w:after="0" w:line="594" w:lineRule="exact"/>
        <w:ind w:firstLine="640"/>
        <w:jc w:val="both"/>
        <w:rPr>
          <w:rFonts w:ascii="黑体" w:hAnsi="黑体" w:eastAsia="黑体" w:cs="黑体"/>
          <w:b w:val="0"/>
          <w:bCs/>
          <w:color w:val="auto"/>
          <w:sz w:val="32"/>
          <w:szCs w:val="32"/>
        </w:rPr>
      </w:pPr>
      <w:bookmarkStart w:id="79" w:name="_Toc1693340909"/>
      <w:bookmarkStart w:id="80" w:name="_Toc17476"/>
      <w:bookmarkStart w:id="81" w:name="_Toc174632661"/>
      <w:r>
        <w:rPr>
          <w:rFonts w:hint="eastAsia" w:ascii="黑体" w:hAnsi="黑体" w:eastAsia="黑体" w:cs="黑体"/>
          <w:b w:val="0"/>
          <w:bCs/>
          <w:color w:val="auto"/>
          <w:sz w:val="32"/>
          <w:szCs w:val="32"/>
        </w:rPr>
        <w:t>第十</w:t>
      </w:r>
      <w:r>
        <w:rPr>
          <w:rFonts w:hint="eastAsia" w:ascii="黑体" w:hAnsi="黑体" w:eastAsia="黑体" w:cs="黑体"/>
          <w:b w:val="0"/>
          <w:bCs/>
          <w:color w:val="auto"/>
          <w:sz w:val="32"/>
          <w:szCs w:val="32"/>
          <w:lang w:eastAsia="zh-CN"/>
        </w:rPr>
        <w:t>八</w:t>
      </w:r>
      <w:r>
        <w:rPr>
          <w:rFonts w:hint="eastAsia" w:ascii="黑体" w:hAnsi="黑体" w:eastAsia="黑体" w:cs="黑体"/>
          <w:b w:val="0"/>
          <w:bCs/>
          <w:color w:val="auto"/>
          <w:sz w:val="32"/>
          <w:szCs w:val="32"/>
        </w:rPr>
        <w:t>条  行业协会的组织行为</w:t>
      </w:r>
      <w:bookmarkEnd w:id="79"/>
      <w:bookmarkEnd w:id="80"/>
      <w:bookmarkEnd w:id="81"/>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药品领域行业协会不得组织药品经营者达成或者实施垄断协议，不得为药品经营者达成或者实施垄断协议提供便利条件。</w:t>
      </w:r>
    </w:p>
    <w:p>
      <w:pPr>
        <w:pStyle w:val="4"/>
        <w:snapToGrid w:val="0"/>
        <w:spacing w:before="0" w:after="0" w:line="594" w:lineRule="exact"/>
        <w:ind w:firstLine="640"/>
        <w:jc w:val="both"/>
        <w:rPr>
          <w:rFonts w:ascii="黑体" w:hAnsi="黑体" w:eastAsia="黑体" w:cs="黑体"/>
          <w:b w:val="0"/>
          <w:bCs/>
          <w:color w:val="auto"/>
          <w:sz w:val="32"/>
          <w:szCs w:val="32"/>
        </w:rPr>
      </w:pPr>
      <w:bookmarkStart w:id="82" w:name="_Toc1527367519"/>
      <w:bookmarkStart w:id="83" w:name="_Toc1588471625"/>
      <w:bookmarkStart w:id="84" w:name="_Toc1297126400"/>
      <w:bookmarkStart w:id="85" w:name="_Toc10957"/>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eastAsia="zh-CN"/>
        </w:rPr>
        <w:t>十九</w:t>
      </w:r>
      <w:r>
        <w:rPr>
          <w:rFonts w:hint="eastAsia" w:ascii="黑体" w:hAnsi="黑体" w:eastAsia="黑体" w:cs="黑体"/>
          <w:b w:val="0"/>
          <w:bCs/>
          <w:color w:val="auto"/>
          <w:sz w:val="32"/>
          <w:szCs w:val="32"/>
        </w:rPr>
        <w:t>条  豁免制度</w:t>
      </w:r>
      <w:bookmarkEnd w:id="82"/>
      <w:bookmarkEnd w:id="83"/>
      <w:bookmarkEnd w:id="84"/>
      <w:bookmarkEnd w:id="85"/>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药品经营者主张协议适用《反垄断法》第二十条的，需要提</w:t>
      </w:r>
      <w:r>
        <w:rPr>
          <w:rFonts w:hint="eastAsia" w:ascii="仿宋_GB2312" w:hAnsi="仿宋_GB2312" w:eastAsia="仿宋_GB2312" w:cs="仿宋_GB2312"/>
          <w:color w:val="auto"/>
          <w:sz w:val="32"/>
          <w:szCs w:val="32"/>
          <w:lang w:eastAsia="zh-CN"/>
        </w:rPr>
        <w:t>供</w:t>
      </w:r>
      <w:r>
        <w:rPr>
          <w:rFonts w:hint="eastAsia" w:ascii="仿宋_GB2312" w:hAnsi="仿宋_GB2312" w:eastAsia="仿宋_GB2312" w:cs="仿宋_GB2312"/>
          <w:color w:val="auto"/>
          <w:sz w:val="32"/>
          <w:szCs w:val="32"/>
        </w:rPr>
        <w:t>证据证明协议符合《反垄断法》第二十条、《禁止垄断协议规定》第二十条规定的条件。反垄断执法机构根据个案情况依法作出认定。</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药品经营者为了研究开发新的药品品种、剂型、用途或者生产药品的新技术、新工艺、新设备而与他人达成联合研发或者付费由他人研发的协议，涉嫌构成垄断协议的，可以依据《反垄断法》第二十条第一款第一项主张豁免。反垄断执法机构认定上述研发协议是否符合豁免条件时，</w:t>
      </w:r>
      <w:r>
        <w:rPr>
          <w:rFonts w:hint="eastAsia" w:ascii="仿宋_GB2312" w:hAnsi="仿宋_GB2312" w:eastAsia="仿宋_GB2312" w:cs="仿宋_GB2312"/>
          <w:color w:val="auto"/>
          <w:sz w:val="32"/>
          <w:szCs w:val="32"/>
          <w:lang w:eastAsia="zh-CN"/>
        </w:rPr>
        <w:t>会</w:t>
      </w:r>
      <w:r>
        <w:rPr>
          <w:rFonts w:hint="eastAsia" w:ascii="仿宋_GB2312" w:hAnsi="仿宋_GB2312" w:eastAsia="仿宋_GB2312" w:cs="仿宋_GB2312"/>
          <w:color w:val="auto"/>
          <w:sz w:val="32"/>
          <w:szCs w:val="32"/>
        </w:rPr>
        <w:t>综合考虑研发成果的经济与社会效益，协议方之间的关系及其对相关市场的控制力，协议限制竞争的内容、方式和程度，以及协议对完成研发的必要性等因素</w:t>
      </w:r>
      <w:r>
        <w:rPr>
          <w:rFonts w:hint="eastAsia" w:ascii="Times New Roman" w:hAnsi="Times New Roman" w:eastAsia="仿宋_GB2312" w:cs="Times New Roman"/>
          <w:color w:val="auto"/>
          <w:sz w:val="32"/>
          <w:szCs w:val="32"/>
        </w:rPr>
        <w:t>。</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反垄断执法机构认定被调查的协议能够使消费者分享由此产生的利益，可以考虑下列因素：</w:t>
      </w:r>
    </w:p>
    <w:p>
      <w:pPr>
        <w:numPr>
          <w:ilvl w:val="0"/>
          <w:numId w:val="4"/>
        </w:num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增加药品品种；</w:t>
      </w:r>
    </w:p>
    <w:p>
      <w:pPr>
        <w:numPr>
          <w:ilvl w:val="0"/>
          <w:numId w:val="4"/>
        </w:num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提高药品安全性、有效性</w:t>
      </w:r>
      <w:r>
        <w:rPr>
          <w:rFonts w:hint="eastAsia" w:ascii="仿宋_GB2312" w:hAnsi="仿宋_GB2312" w:eastAsia="仿宋_GB2312" w:cs="仿宋_GB2312"/>
          <w:color w:val="auto"/>
          <w:sz w:val="32"/>
          <w:szCs w:val="32"/>
          <w:lang w:eastAsia="zh-CN"/>
        </w:rPr>
        <w:t>、可及性</w:t>
      </w:r>
      <w:r>
        <w:rPr>
          <w:rFonts w:hint="eastAsia" w:ascii="仿宋_GB2312" w:hAnsi="仿宋_GB2312" w:eastAsia="仿宋_GB2312" w:cs="仿宋_GB2312"/>
          <w:color w:val="auto"/>
          <w:sz w:val="32"/>
          <w:szCs w:val="32"/>
        </w:rPr>
        <w:t>；</w:t>
      </w:r>
    </w:p>
    <w:p>
      <w:pPr>
        <w:numPr>
          <w:ilvl w:val="0"/>
          <w:numId w:val="4"/>
        </w:num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缩短药品上市周期；</w:t>
      </w:r>
    </w:p>
    <w:p>
      <w:pPr>
        <w:numPr>
          <w:ilvl w:val="0"/>
          <w:numId w:val="4"/>
        </w:num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降低消费者用药负担；</w:t>
      </w:r>
    </w:p>
    <w:p>
      <w:pPr>
        <w:numPr>
          <w:ilvl w:val="0"/>
          <w:numId w:val="4"/>
        </w:num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保障突发公共卫生事件时期的药品有效供给。</w:t>
      </w:r>
    </w:p>
    <w:p>
      <w:pPr>
        <w:pStyle w:val="4"/>
        <w:snapToGrid w:val="0"/>
        <w:spacing w:before="0" w:after="0" w:line="594" w:lineRule="exact"/>
        <w:ind w:firstLine="0" w:firstLineChars="0"/>
        <w:jc w:val="both"/>
        <w:rPr>
          <w:rFonts w:ascii="黑体" w:hAnsi="黑体" w:eastAsia="黑体" w:cs="黑体"/>
          <w:b w:val="0"/>
          <w:bCs/>
          <w:color w:val="auto"/>
          <w:sz w:val="32"/>
          <w:szCs w:val="32"/>
        </w:rPr>
      </w:pPr>
      <w:bookmarkStart w:id="86" w:name="_Toc1593859242"/>
      <w:bookmarkStart w:id="87" w:name="_Toc2073385518"/>
      <w:bookmarkStart w:id="88" w:name="_Toc159414482"/>
      <w:bookmarkStart w:id="89" w:name="_Toc1696904103"/>
      <w:bookmarkStart w:id="90" w:name="_Toc26073"/>
    </w:p>
    <w:p>
      <w:pPr>
        <w:pStyle w:val="4"/>
        <w:snapToGrid w:val="0"/>
        <w:spacing w:before="0" w:after="0" w:line="594" w:lineRule="exact"/>
        <w:ind w:firstLine="0" w:firstLineChars="0"/>
        <w:jc w:val="center"/>
        <w:rPr>
          <w:rFonts w:ascii="黑体" w:hAnsi="黑体" w:eastAsia="黑体" w:cs="黑体"/>
          <w:b w:val="0"/>
          <w:bCs/>
          <w:color w:val="auto"/>
          <w:sz w:val="32"/>
          <w:szCs w:val="32"/>
        </w:rPr>
      </w:pPr>
      <w:r>
        <w:rPr>
          <w:rFonts w:hint="eastAsia" w:ascii="黑体" w:hAnsi="黑体" w:eastAsia="黑体" w:cs="黑体"/>
          <w:b w:val="0"/>
          <w:bCs/>
          <w:color w:val="auto"/>
          <w:sz w:val="32"/>
          <w:szCs w:val="32"/>
        </w:rPr>
        <w:t>第三章 滥用市场支配地位</w:t>
      </w:r>
      <w:bookmarkEnd w:id="86"/>
      <w:bookmarkEnd w:id="87"/>
      <w:bookmarkEnd w:id="88"/>
      <w:bookmarkEnd w:id="89"/>
      <w:bookmarkEnd w:id="90"/>
    </w:p>
    <w:p>
      <w:pPr>
        <w:snapToGrid w:val="0"/>
        <w:spacing w:after="0" w:line="594" w:lineRule="exact"/>
        <w:jc w:val="both"/>
        <w:rPr>
          <w:color w:val="auto"/>
        </w:rPr>
      </w:pPr>
    </w:p>
    <w:p>
      <w:pPr>
        <w:pStyle w:val="4"/>
        <w:snapToGrid w:val="0"/>
        <w:spacing w:before="0" w:after="0" w:line="594" w:lineRule="exact"/>
        <w:ind w:firstLine="640"/>
        <w:jc w:val="both"/>
        <w:rPr>
          <w:rFonts w:ascii="黑体" w:hAnsi="黑体" w:eastAsia="黑体" w:cs="黑体"/>
          <w:b w:val="0"/>
          <w:bCs/>
          <w:color w:val="auto"/>
          <w:sz w:val="32"/>
          <w:szCs w:val="32"/>
        </w:rPr>
      </w:pPr>
      <w:r>
        <w:rPr>
          <w:rFonts w:hint="eastAsia" w:ascii="黑体" w:hAnsi="黑体" w:eastAsia="黑体" w:cs="黑体"/>
          <w:b w:val="0"/>
          <w:bCs/>
          <w:color w:val="auto"/>
          <w:sz w:val="32"/>
          <w:szCs w:val="32"/>
        </w:rPr>
        <w:t>第二十条  整体分析框架</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认定药品领域的滥用市场支配地位行为，适用《反垄断法》第三章和《禁止滥用市场支配地位行为规定》。通常情况下，首先需要界定相关市场，</w:t>
      </w:r>
      <w:r>
        <w:rPr>
          <w:rFonts w:hint="eastAsia" w:ascii="仿宋_GB2312" w:hAnsi="仿宋_GB2312" w:eastAsia="仿宋_GB2312" w:cs="仿宋_GB2312"/>
          <w:color w:val="auto"/>
          <w:sz w:val="32"/>
          <w:szCs w:val="32"/>
          <w:lang w:eastAsia="zh-CN"/>
        </w:rPr>
        <w:t>认定</w:t>
      </w:r>
      <w:r>
        <w:rPr>
          <w:rFonts w:hint="eastAsia" w:ascii="仿宋_GB2312" w:hAnsi="仿宋_GB2312" w:eastAsia="仿宋_GB2312" w:cs="仿宋_GB2312"/>
          <w:color w:val="auto"/>
          <w:sz w:val="32"/>
          <w:szCs w:val="32"/>
        </w:rPr>
        <w:t>药品经营者在相关市场是否具有市场支配地位，再结合药品经营者提出的正当理由以及相关行为是否排除、限制竞争，具体分析是否构成滥用市场支配地位行为。</w:t>
      </w:r>
    </w:p>
    <w:p>
      <w:pPr>
        <w:pStyle w:val="4"/>
        <w:snapToGrid w:val="0"/>
        <w:spacing w:before="0" w:after="0" w:line="594" w:lineRule="exact"/>
        <w:ind w:firstLine="640"/>
        <w:jc w:val="both"/>
        <w:rPr>
          <w:rFonts w:ascii="黑体" w:hAnsi="黑体" w:eastAsia="黑体" w:cs="黑体"/>
          <w:b w:val="0"/>
          <w:bCs/>
          <w:color w:val="auto"/>
          <w:sz w:val="32"/>
          <w:szCs w:val="32"/>
        </w:rPr>
      </w:pPr>
      <w:bookmarkStart w:id="91" w:name="_Toc29285"/>
      <w:bookmarkStart w:id="92" w:name="_Toc12440367"/>
      <w:bookmarkStart w:id="93" w:name="_Toc653315065"/>
      <w:r>
        <w:rPr>
          <w:rFonts w:hint="eastAsia" w:ascii="黑体" w:hAnsi="黑体" w:eastAsia="黑体" w:cs="黑体"/>
          <w:b w:val="0"/>
          <w:bCs/>
          <w:color w:val="auto"/>
          <w:sz w:val="32"/>
          <w:szCs w:val="32"/>
        </w:rPr>
        <w:t>第二十</w:t>
      </w:r>
      <w:r>
        <w:rPr>
          <w:rFonts w:hint="eastAsia" w:ascii="黑体" w:hAnsi="黑体" w:eastAsia="黑体" w:cs="黑体"/>
          <w:b w:val="0"/>
          <w:bCs/>
          <w:color w:val="auto"/>
          <w:sz w:val="32"/>
          <w:szCs w:val="32"/>
          <w:lang w:eastAsia="zh-CN"/>
        </w:rPr>
        <w:t>一</w:t>
      </w:r>
      <w:r>
        <w:rPr>
          <w:rFonts w:hint="eastAsia" w:ascii="黑体" w:hAnsi="黑体" w:eastAsia="黑体" w:cs="黑体"/>
          <w:b w:val="0"/>
          <w:bCs/>
          <w:color w:val="auto"/>
          <w:sz w:val="32"/>
          <w:szCs w:val="32"/>
        </w:rPr>
        <w:t>条  市场支配地位的认定</w:t>
      </w:r>
      <w:bookmarkEnd w:id="91"/>
      <w:bookmarkEnd w:id="92"/>
      <w:bookmarkEnd w:id="93"/>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反垄断执法机构</w:t>
      </w:r>
      <w:r>
        <w:rPr>
          <w:rFonts w:hint="eastAsia" w:ascii="仿宋_GB2312" w:hAnsi="仿宋_GB2312" w:eastAsia="仿宋_GB2312" w:cs="仿宋_GB2312"/>
          <w:color w:val="auto"/>
          <w:sz w:val="32"/>
          <w:szCs w:val="32"/>
          <w:lang w:eastAsia="zh-CN"/>
        </w:rPr>
        <w:t>依据</w:t>
      </w:r>
      <w:r>
        <w:rPr>
          <w:rFonts w:hint="eastAsia" w:ascii="仿宋_GB2312" w:hAnsi="仿宋_GB2312" w:eastAsia="仿宋_GB2312" w:cs="仿宋_GB2312"/>
          <w:color w:val="auto"/>
          <w:sz w:val="32"/>
          <w:szCs w:val="32"/>
        </w:rPr>
        <w:t>《反垄断法》第二十三条、第二十四条的规定，认定或者推定药品经营者具有市场支配地位。反垄断执法机构可以结合药品领域特点，考虑药品经营者拥有专利等知识产权情况、控制药品供应链情况、监管法律法规和政策影响、交易相对人的制衡能力等因素。</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认定两个以上的药品经营者具有市场支配地位，还应当考虑药品经营者的行为一致性、市场结构、相关市场透明度、相关药品同质化程度等因素。</w:t>
      </w:r>
    </w:p>
    <w:p>
      <w:pPr>
        <w:pStyle w:val="4"/>
        <w:snapToGrid w:val="0"/>
        <w:spacing w:before="0" w:after="0" w:line="594" w:lineRule="exact"/>
        <w:ind w:firstLine="640"/>
        <w:jc w:val="both"/>
        <w:rPr>
          <w:rFonts w:ascii="黑体" w:hAnsi="黑体" w:eastAsia="黑体" w:cs="黑体"/>
          <w:b w:val="0"/>
          <w:bCs/>
          <w:color w:val="auto"/>
          <w:sz w:val="32"/>
          <w:szCs w:val="32"/>
        </w:rPr>
      </w:pPr>
      <w:bookmarkStart w:id="94" w:name="_Toc779334410"/>
      <w:bookmarkStart w:id="95" w:name="_Toc19329"/>
      <w:bookmarkStart w:id="96" w:name="_Toc182410344"/>
      <w:r>
        <w:rPr>
          <w:rFonts w:hint="eastAsia" w:ascii="黑体" w:hAnsi="黑体" w:eastAsia="黑体" w:cs="黑体"/>
          <w:b w:val="0"/>
          <w:bCs/>
          <w:color w:val="auto"/>
          <w:sz w:val="32"/>
          <w:szCs w:val="32"/>
        </w:rPr>
        <w:t>第二十</w:t>
      </w:r>
      <w:r>
        <w:rPr>
          <w:rFonts w:hint="eastAsia" w:ascii="黑体" w:hAnsi="黑体" w:eastAsia="黑体" w:cs="黑体"/>
          <w:b w:val="0"/>
          <w:bCs/>
          <w:color w:val="auto"/>
          <w:sz w:val="32"/>
          <w:szCs w:val="32"/>
          <w:lang w:eastAsia="zh-CN"/>
        </w:rPr>
        <w:t>二</w:t>
      </w:r>
      <w:r>
        <w:rPr>
          <w:rFonts w:hint="eastAsia" w:ascii="黑体" w:hAnsi="黑体" w:eastAsia="黑体" w:cs="黑体"/>
          <w:b w:val="0"/>
          <w:bCs/>
          <w:color w:val="auto"/>
          <w:sz w:val="32"/>
          <w:szCs w:val="32"/>
        </w:rPr>
        <w:t>条  不公平高价</w:t>
      </w:r>
      <w:bookmarkEnd w:id="94"/>
      <w:bookmarkEnd w:id="95"/>
      <w:bookmarkEnd w:id="96"/>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禁止具有市场支配地位的药品经营者，以不公平的高价销售药品。分析是否构成上述行为，可以考虑以下因素：</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（一）药品的销售价格明显高于其他经营者在相同或者相似市场条件下，销售同种药品或者可比较药品的价格；</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（二）药品的销售价格明显高于同一经营者在相同或者相似市场条件下，不同区域销售同种药品或者可比较药品的价格；</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（三）药品的销售价格明显高于同一经营者在相同或者相似市场条件下，不同时期销售同种药品或者可比较药品的价格；</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（四）在成本基本稳定的情况下，超过正常幅度提高药品销售价格；</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（五）在成本增长的情况下，销售药品的提价幅度明显高于成本增长幅度；</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（六）通过虚假交易、层层加价等方式，不当推高药品销售价格。</w:t>
      </w:r>
    </w:p>
    <w:p>
      <w:pPr>
        <w:pStyle w:val="4"/>
        <w:snapToGrid w:val="0"/>
        <w:spacing w:before="0" w:after="0" w:line="594" w:lineRule="exact"/>
        <w:ind w:firstLine="640"/>
        <w:jc w:val="both"/>
        <w:rPr>
          <w:rFonts w:ascii="黑体" w:hAnsi="黑体" w:eastAsia="黑体" w:cs="黑体"/>
          <w:b w:val="0"/>
          <w:bCs/>
          <w:color w:val="auto"/>
          <w:sz w:val="32"/>
          <w:szCs w:val="32"/>
        </w:rPr>
      </w:pPr>
      <w:bookmarkStart w:id="97" w:name="_Toc1311487339"/>
      <w:bookmarkStart w:id="98" w:name="_Toc770665817"/>
      <w:bookmarkStart w:id="99" w:name="_Toc5812"/>
      <w:r>
        <w:rPr>
          <w:rFonts w:hint="eastAsia" w:ascii="黑体" w:hAnsi="黑体" w:eastAsia="黑体" w:cs="黑体"/>
          <w:b w:val="0"/>
          <w:bCs/>
          <w:color w:val="auto"/>
          <w:sz w:val="32"/>
          <w:szCs w:val="32"/>
        </w:rPr>
        <w:t>第二十</w:t>
      </w:r>
      <w:r>
        <w:rPr>
          <w:rFonts w:hint="eastAsia" w:ascii="黑体" w:hAnsi="黑体" w:eastAsia="黑体" w:cs="黑体"/>
          <w:b w:val="0"/>
          <w:bCs/>
          <w:color w:val="auto"/>
          <w:sz w:val="32"/>
          <w:szCs w:val="32"/>
          <w:lang w:eastAsia="zh-CN"/>
        </w:rPr>
        <w:t>三</w:t>
      </w:r>
      <w:r>
        <w:rPr>
          <w:rFonts w:hint="eastAsia" w:ascii="黑体" w:hAnsi="黑体" w:eastAsia="黑体" w:cs="黑体"/>
          <w:b w:val="0"/>
          <w:bCs/>
          <w:color w:val="auto"/>
          <w:sz w:val="32"/>
          <w:szCs w:val="32"/>
        </w:rPr>
        <w:t>条  拒绝交易</w:t>
      </w:r>
      <w:bookmarkEnd w:id="97"/>
      <w:bookmarkEnd w:id="98"/>
      <w:bookmarkEnd w:id="99"/>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禁止具有市场支配地位的药品经营者，没有正当理由通过下列方式拒绝与交易相对人进行药品交易：</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（一）以缩减药品生产规模、减少药品供货数量等方式，实质性削减与交易相对人的现有交易数量；</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（二）以延迟药品供货、停止药品生产等方式，拖延、中断与交易相对人的现有交易；</w:t>
      </w:r>
    </w:p>
    <w:p>
      <w:pPr>
        <w:snapToGrid w:val="0"/>
        <w:spacing w:after="0" w:line="594" w:lineRule="exact"/>
        <w:ind w:firstLine="56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（三）拒绝与交易相对人进行新的交易；</w:t>
      </w:r>
    </w:p>
    <w:p>
      <w:pPr>
        <w:snapToGrid w:val="0"/>
        <w:spacing w:after="0" w:line="594" w:lineRule="exact"/>
        <w:ind w:firstLine="56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（四）以虚假自用等方式拒绝与交易相对人</w:t>
      </w:r>
      <w:r>
        <w:rPr>
          <w:rFonts w:hint="eastAsia" w:ascii="仿宋_GB2312" w:hAnsi="仿宋_GB2312" w:eastAsia="仿宋_GB2312" w:cs="仿宋_GB2312"/>
          <w:color w:val="auto"/>
          <w:sz w:val="32"/>
          <w:szCs w:val="32"/>
          <w:lang w:eastAsia="zh-CN"/>
        </w:rPr>
        <w:t>进行</w:t>
      </w:r>
      <w:r>
        <w:rPr>
          <w:rFonts w:hint="eastAsia" w:ascii="仿宋_GB2312" w:hAnsi="仿宋_GB2312" w:eastAsia="仿宋_GB2312" w:cs="仿宋_GB2312"/>
          <w:color w:val="auto"/>
          <w:sz w:val="32"/>
          <w:szCs w:val="32"/>
        </w:rPr>
        <w:t>交易；</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w:t>
      </w:r>
      <w:r>
        <w:rPr>
          <w:rFonts w:hint="eastAsia" w:ascii="仿宋_GB2312" w:hAnsi="仿宋_GB2312" w:eastAsia="仿宋_GB2312" w:cs="仿宋_GB2312"/>
          <w:color w:val="auto"/>
          <w:sz w:val="32"/>
          <w:szCs w:val="32"/>
          <w:lang w:eastAsia="zh-CN"/>
        </w:rPr>
        <w:t>以</w:t>
      </w:r>
      <w:r>
        <w:rPr>
          <w:rFonts w:hint="eastAsia" w:ascii="仿宋_GB2312" w:hAnsi="仿宋_GB2312" w:eastAsia="仿宋_GB2312" w:cs="仿宋_GB2312"/>
          <w:color w:val="auto"/>
          <w:sz w:val="32"/>
          <w:szCs w:val="32"/>
        </w:rPr>
        <w:t>设置</w:t>
      </w:r>
      <w:r>
        <w:rPr>
          <w:rFonts w:hint="eastAsia" w:ascii="仿宋_GB2312" w:hAnsi="仿宋_GB2312" w:eastAsia="仿宋_GB2312" w:cs="仿宋_GB2312"/>
          <w:color w:val="auto"/>
          <w:sz w:val="32"/>
          <w:szCs w:val="32"/>
          <w:lang w:eastAsia="zh-CN"/>
        </w:rPr>
        <w:t>高额保证金或者其他</w:t>
      </w:r>
      <w:r>
        <w:rPr>
          <w:rFonts w:hint="eastAsia" w:ascii="仿宋_GB2312" w:hAnsi="仿宋_GB2312" w:eastAsia="仿宋_GB2312" w:cs="仿宋_GB2312"/>
          <w:color w:val="auto"/>
          <w:sz w:val="32"/>
          <w:szCs w:val="32"/>
        </w:rPr>
        <w:t>严重损害交易相对人利益的</w:t>
      </w:r>
      <w:r>
        <w:rPr>
          <w:rFonts w:hint="eastAsia" w:ascii="仿宋_GB2312" w:hAnsi="仿宋_GB2312" w:eastAsia="仿宋_GB2312" w:cs="仿宋_GB2312"/>
          <w:color w:val="auto"/>
          <w:sz w:val="32"/>
          <w:szCs w:val="32"/>
          <w:lang w:eastAsia="zh-CN"/>
        </w:rPr>
        <w:t>限制性</w:t>
      </w:r>
      <w:r>
        <w:rPr>
          <w:rFonts w:hint="eastAsia" w:ascii="仿宋_GB2312" w:hAnsi="仿宋_GB2312" w:eastAsia="仿宋_GB2312" w:cs="仿宋_GB2312"/>
          <w:color w:val="auto"/>
          <w:sz w:val="32"/>
          <w:szCs w:val="32"/>
        </w:rPr>
        <w:t>条件等</w:t>
      </w:r>
      <w:r>
        <w:rPr>
          <w:rFonts w:hint="eastAsia" w:ascii="仿宋_GB2312" w:hAnsi="仿宋_GB2312" w:eastAsia="仿宋_GB2312" w:cs="仿宋_GB2312"/>
          <w:color w:val="auto"/>
          <w:sz w:val="32"/>
          <w:szCs w:val="32"/>
          <w:lang w:eastAsia="zh-CN"/>
        </w:rPr>
        <w:t>方式，变相拒绝与交易相对人进行交易</w:t>
      </w:r>
      <w:r>
        <w:rPr>
          <w:rFonts w:hint="eastAsia" w:ascii="仿宋_GB2312" w:hAnsi="仿宋_GB2312" w:eastAsia="仿宋_GB2312" w:cs="仿宋_GB2312"/>
          <w:color w:val="auto"/>
          <w:sz w:val="32"/>
          <w:szCs w:val="32"/>
        </w:rPr>
        <w:t>。</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具有市场支配地位的原料药经营者，没有正当理由，不得通过拒绝交易，降低原料药市场供应量，提高原料药销售价格，或者通过拒绝交易，排除、限制下游市场竞争，使自身或者特定经营者获得不当竞争优势。</w:t>
      </w:r>
    </w:p>
    <w:p>
      <w:pPr>
        <w:pStyle w:val="4"/>
        <w:snapToGrid w:val="0"/>
        <w:spacing w:before="0" w:after="0" w:line="594" w:lineRule="exact"/>
        <w:ind w:firstLine="640"/>
        <w:jc w:val="both"/>
        <w:rPr>
          <w:rFonts w:ascii="黑体" w:hAnsi="黑体" w:eastAsia="黑体" w:cs="黑体"/>
          <w:b w:val="0"/>
          <w:bCs/>
          <w:color w:val="auto"/>
          <w:sz w:val="32"/>
          <w:szCs w:val="32"/>
        </w:rPr>
      </w:pPr>
      <w:bookmarkStart w:id="100" w:name="_Toc4792"/>
      <w:bookmarkStart w:id="101" w:name="_Toc1106511262"/>
      <w:bookmarkStart w:id="102" w:name="_Toc395553765"/>
      <w:r>
        <w:rPr>
          <w:rFonts w:hint="eastAsia" w:ascii="黑体" w:hAnsi="黑体" w:eastAsia="黑体" w:cs="黑体"/>
          <w:b w:val="0"/>
          <w:bCs/>
          <w:color w:val="auto"/>
          <w:sz w:val="32"/>
          <w:szCs w:val="32"/>
        </w:rPr>
        <w:t>第二十</w:t>
      </w:r>
      <w:r>
        <w:rPr>
          <w:rFonts w:hint="eastAsia" w:ascii="黑体" w:hAnsi="黑体" w:eastAsia="黑体" w:cs="黑体"/>
          <w:b w:val="0"/>
          <w:bCs/>
          <w:color w:val="auto"/>
          <w:sz w:val="32"/>
          <w:szCs w:val="32"/>
          <w:lang w:eastAsia="zh-CN"/>
        </w:rPr>
        <w:t>四</w:t>
      </w:r>
      <w:r>
        <w:rPr>
          <w:rFonts w:hint="eastAsia" w:ascii="黑体" w:hAnsi="黑体" w:eastAsia="黑体" w:cs="黑体"/>
          <w:b w:val="0"/>
          <w:bCs/>
          <w:color w:val="auto"/>
          <w:sz w:val="32"/>
          <w:szCs w:val="32"/>
        </w:rPr>
        <w:t>条  限定交易</w:t>
      </w:r>
      <w:bookmarkEnd w:id="100"/>
      <w:bookmarkEnd w:id="101"/>
      <w:bookmarkEnd w:id="102"/>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禁止具有市场支配地位的药品经营者，没有正当理由从事下列限定交易行为：</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（一）限定交易相对人只能向其购买或者销售药品，不得与其他经营者进行交易；</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（二）限定交易相对人只能向其指定的经营者购买或者销售药品；</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（三）限定交易相对人不得与特定经营者进行交易。</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从事</w:t>
      </w:r>
      <w:r>
        <w:rPr>
          <w:rFonts w:hint="eastAsia" w:ascii="仿宋_GB2312" w:hAnsi="仿宋_GB2312" w:eastAsia="仿宋_GB2312" w:cs="仿宋_GB2312"/>
          <w:color w:val="auto"/>
          <w:sz w:val="32"/>
          <w:szCs w:val="32"/>
        </w:rPr>
        <w:t>上述限定交易行为可以是直接限定，也可以是采取惩罚性措施或者激励性措施等方式变相限定。</w:t>
      </w:r>
    </w:p>
    <w:p>
      <w:pPr>
        <w:pStyle w:val="4"/>
        <w:snapToGrid w:val="0"/>
        <w:spacing w:before="0" w:after="0" w:line="594" w:lineRule="exact"/>
        <w:ind w:firstLine="640"/>
        <w:jc w:val="both"/>
        <w:rPr>
          <w:rFonts w:ascii="黑体" w:hAnsi="黑体" w:eastAsia="黑体" w:cs="黑体"/>
          <w:b w:val="0"/>
          <w:bCs/>
          <w:color w:val="auto"/>
          <w:sz w:val="32"/>
          <w:szCs w:val="32"/>
        </w:rPr>
      </w:pPr>
      <w:bookmarkStart w:id="103" w:name="_Toc1610240890"/>
      <w:bookmarkStart w:id="104" w:name="_Toc2073881061"/>
      <w:bookmarkStart w:id="105" w:name="_Toc8774"/>
      <w:r>
        <w:rPr>
          <w:rFonts w:hint="eastAsia" w:ascii="黑体" w:hAnsi="黑体" w:eastAsia="黑体" w:cs="黑体"/>
          <w:b w:val="0"/>
          <w:bCs/>
          <w:color w:val="auto"/>
          <w:sz w:val="32"/>
          <w:szCs w:val="32"/>
        </w:rPr>
        <w:t>第二十</w:t>
      </w:r>
      <w:r>
        <w:rPr>
          <w:rFonts w:hint="eastAsia" w:ascii="黑体" w:hAnsi="黑体" w:eastAsia="黑体" w:cs="黑体"/>
          <w:b w:val="0"/>
          <w:bCs/>
          <w:color w:val="auto"/>
          <w:sz w:val="32"/>
          <w:szCs w:val="32"/>
          <w:lang w:eastAsia="zh-CN"/>
        </w:rPr>
        <w:t>五</w:t>
      </w:r>
      <w:r>
        <w:rPr>
          <w:rFonts w:hint="eastAsia" w:ascii="黑体" w:hAnsi="黑体" w:eastAsia="黑体" w:cs="黑体"/>
          <w:b w:val="0"/>
          <w:bCs/>
          <w:color w:val="auto"/>
          <w:sz w:val="32"/>
          <w:szCs w:val="32"/>
        </w:rPr>
        <w:t>条  搭售</w:t>
      </w:r>
      <w:bookmarkEnd w:id="103"/>
      <w:bookmarkEnd w:id="104"/>
      <w:bookmarkEnd w:id="105"/>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禁止具有市场支配地位的药品经营者，没有正当理由在药品交易中违背交易惯例、使用习惯等，以交易相对人难以选择、更改、拒绝的方式，从事下列组合销售或者捆绑销售行为：</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（一）搭售其他药品；</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（二）搭售药用辅料、包材、医疗器械等；</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（三）搭售其他商品。</w:t>
      </w:r>
    </w:p>
    <w:p>
      <w:pPr>
        <w:pStyle w:val="4"/>
        <w:snapToGrid w:val="0"/>
        <w:spacing w:before="0" w:after="0" w:line="594" w:lineRule="exact"/>
        <w:ind w:firstLine="640"/>
        <w:jc w:val="both"/>
        <w:rPr>
          <w:rFonts w:ascii="黑体" w:hAnsi="黑体" w:eastAsia="黑体" w:cs="黑体"/>
          <w:b w:val="0"/>
          <w:bCs/>
          <w:color w:val="auto"/>
          <w:sz w:val="32"/>
          <w:szCs w:val="32"/>
        </w:rPr>
      </w:pPr>
      <w:bookmarkStart w:id="106" w:name="_Toc2059401417"/>
      <w:bookmarkStart w:id="107" w:name="_Toc729718736"/>
      <w:bookmarkStart w:id="108" w:name="_Toc21372"/>
      <w:r>
        <w:rPr>
          <w:rFonts w:hint="eastAsia" w:ascii="黑体" w:hAnsi="黑体" w:eastAsia="黑体" w:cs="黑体"/>
          <w:b w:val="0"/>
          <w:bCs/>
          <w:color w:val="auto"/>
          <w:sz w:val="32"/>
          <w:szCs w:val="32"/>
        </w:rPr>
        <w:t>第二十</w:t>
      </w:r>
      <w:r>
        <w:rPr>
          <w:rFonts w:hint="eastAsia" w:ascii="黑体" w:hAnsi="黑体" w:eastAsia="黑体" w:cs="黑体"/>
          <w:b w:val="0"/>
          <w:bCs/>
          <w:color w:val="auto"/>
          <w:sz w:val="32"/>
          <w:szCs w:val="32"/>
          <w:lang w:eastAsia="zh-CN"/>
        </w:rPr>
        <w:t>六</w:t>
      </w:r>
      <w:r>
        <w:rPr>
          <w:rFonts w:hint="eastAsia" w:ascii="黑体" w:hAnsi="黑体" w:eastAsia="黑体" w:cs="黑体"/>
          <w:b w:val="0"/>
          <w:bCs/>
          <w:color w:val="auto"/>
          <w:sz w:val="32"/>
          <w:szCs w:val="32"/>
        </w:rPr>
        <w:t>条  附加其他不合理的交易条件</w:t>
      </w:r>
      <w:bookmarkEnd w:id="106"/>
      <w:bookmarkEnd w:id="107"/>
      <w:bookmarkEnd w:id="108"/>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禁止具有市场支配地位的药品经营者，</w:t>
      </w:r>
      <w:r>
        <w:rPr>
          <w:rFonts w:hint="eastAsia" w:ascii="仿宋_GB2312" w:hAnsi="仿宋_GB2312" w:eastAsia="仿宋_GB2312" w:cs="仿宋_GB2312"/>
          <w:color w:val="auto"/>
          <w:sz w:val="32"/>
          <w:szCs w:val="32"/>
          <w:lang w:eastAsia="zh"/>
        </w:rPr>
        <w:t>没有正当理由</w:t>
      </w:r>
      <w:r>
        <w:rPr>
          <w:rFonts w:hint="eastAsia" w:ascii="仿宋_GB2312" w:hAnsi="仿宋_GB2312" w:eastAsia="仿宋_GB2312" w:cs="仿宋_GB2312"/>
          <w:color w:val="auto"/>
          <w:sz w:val="32"/>
          <w:szCs w:val="32"/>
        </w:rPr>
        <w:t>在药品交易中附加以下不合理的交易条件：</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（一）对药品采购数量附加不合理的限制；</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w:t>
      </w:r>
      <w:r>
        <w:rPr>
          <w:rFonts w:hint="eastAsia" w:ascii="仿宋_GB2312" w:hAnsi="仿宋_GB2312" w:eastAsia="仿宋_GB2312" w:cs="仿宋_GB2312"/>
          <w:color w:val="auto"/>
          <w:sz w:val="32"/>
          <w:szCs w:val="32"/>
          <w:lang w:eastAsia="zh-CN"/>
        </w:rPr>
        <w:t>对药品销售</w:t>
      </w:r>
      <w:r>
        <w:rPr>
          <w:rFonts w:hint="eastAsia" w:ascii="仿宋_GB2312" w:hAnsi="仿宋_GB2312" w:eastAsia="仿宋_GB2312" w:cs="仿宋_GB2312"/>
          <w:color w:val="auto"/>
          <w:sz w:val="32"/>
          <w:szCs w:val="32"/>
        </w:rPr>
        <w:t>对象、地域、价格、数量等</w:t>
      </w:r>
      <w:r>
        <w:rPr>
          <w:rFonts w:hint="eastAsia" w:ascii="仿宋_GB2312" w:hAnsi="仿宋_GB2312" w:eastAsia="仿宋_GB2312" w:cs="仿宋_GB2312"/>
          <w:color w:val="auto"/>
          <w:sz w:val="32"/>
          <w:szCs w:val="32"/>
          <w:lang w:eastAsia="zh-CN"/>
        </w:rPr>
        <w:t>附加不合理的限制</w:t>
      </w:r>
      <w:r>
        <w:rPr>
          <w:rFonts w:hint="eastAsia" w:ascii="仿宋_GB2312" w:hAnsi="仿宋_GB2312" w:eastAsia="仿宋_GB2312" w:cs="仿宋_GB2312"/>
          <w:color w:val="auto"/>
          <w:sz w:val="32"/>
          <w:szCs w:val="32"/>
        </w:rPr>
        <w:t>；</w:t>
      </w:r>
    </w:p>
    <w:p>
      <w:pPr>
        <w:snapToGrid w:val="0"/>
        <w:spacing w:after="0" w:line="594" w:lineRule="exact"/>
        <w:ind w:firstLine="56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（三）要求交易相对人</w:t>
      </w:r>
      <w:r>
        <w:rPr>
          <w:rFonts w:hint="eastAsia" w:ascii="仿宋_GB2312" w:hAnsi="仿宋_GB2312" w:eastAsia="仿宋_GB2312" w:cs="仿宋_GB2312"/>
          <w:color w:val="auto"/>
          <w:sz w:val="32"/>
          <w:szCs w:val="32"/>
          <w:shd w:val="clear" w:fill="auto"/>
          <w:lang w:eastAsia="zh-CN"/>
        </w:rPr>
        <w:t>交纳</w:t>
      </w:r>
      <w:r>
        <w:rPr>
          <w:rFonts w:hint="eastAsia" w:ascii="仿宋_GB2312" w:hAnsi="仿宋_GB2312" w:eastAsia="仿宋_GB2312" w:cs="仿宋_GB2312"/>
          <w:color w:val="auto"/>
          <w:sz w:val="32"/>
          <w:szCs w:val="32"/>
        </w:rPr>
        <w:t>不合理的保证金，或者在药品价款之外附加其他不合理费用；</w:t>
      </w:r>
    </w:p>
    <w:p>
      <w:pPr>
        <w:snapToGrid w:val="0"/>
        <w:spacing w:after="0" w:line="594" w:lineRule="exact"/>
        <w:ind w:firstLine="56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（四）对药品销售的合同期限、支付方式、运输及交付方式等附加不合理的限制；</w:t>
      </w:r>
    </w:p>
    <w:p>
      <w:pPr>
        <w:snapToGrid w:val="0"/>
        <w:spacing w:after="0" w:line="594" w:lineRule="exact"/>
        <w:ind w:firstLine="56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（五）</w:t>
      </w:r>
      <w:r>
        <w:rPr>
          <w:rFonts w:hint="eastAsia" w:ascii="仿宋_GB2312" w:hAnsi="仿宋_GB2312" w:eastAsia="仿宋_GB2312" w:cs="仿宋_GB2312"/>
          <w:color w:val="auto"/>
          <w:sz w:val="32"/>
          <w:szCs w:val="32"/>
        </w:rPr>
        <w:t>提供原料药的药品经营者，要求获取交易相对人生产药品的</w:t>
      </w:r>
      <w:r>
        <w:rPr>
          <w:rFonts w:hint="eastAsia" w:ascii="仿宋_GB2312" w:hAnsi="仿宋_GB2312" w:eastAsia="仿宋_GB2312" w:cs="仿宋_GB2312"/>
          <w:color w:val="auto"/>
          <w:sz w:val="32"/>
          <w:szCs w:val="32"/>
          <w:lang w:eastAsia="zh-CN"/>
        </w:rPr>
        <w:t>全部或者部分</w:t>
      </w:r>
      <w:r>
        <w:rPr>
          <w:rFonts w:hint="eastAsia" w:ascii="仿宋_GB2312" w:hAnsi="仿宋_GB2312" w:eastAsia="仿宋_GB2312" w:cs="仿宋_GB2312"/>
          <w:color w:val="auto"/>
          <w:sz w:val="32"/>
          <w:szCs w:val="32"/>
        </w:rPr>
        <w:t>销售权</w:t>
      </w:r>
      <w:r>
        <w:rPr>
          <w:rFonts w:hint="eastAsia" w:ascii="仿宋_GB2312" w:hAnsi="仿宋_GB2312" w:eastAsia="仿宋_GB2312" w:cs="仿宋_GB2312"/>
          <w:color w:val="auto"/>
          <w:sz w:val="32"/>
          <w:szCs w:val="32"/>
          <w:lang w:eastAsia="zh-CN"/>
        </w:rPr>
        <w:t>，或者</w:t>
      </w:r>
      <w:r>
        <w:rPr>
          <w:rFonts w:hint="eastAsia" w:ascii="仿宋_GB2312" w:hAnsi="仿宋_GB2312" w:eastAsia="仿宋_GB2312" w:cs="仿宋_GB2312"/>
          <w:color w:val="auto"/>
          <w:sz w:val="32"/>
          <w:szCs w:val="32"/>
        </w:rPr>
        <w:t>要求交易相对人提供药品销售返利</w:t>
      </w:r>
      <w:r>
        <w:rPr>
          <w:rFonts w:hint="eastAsia" w:ascii="仿宋_GB2312" w:hAnsi="仿宋_GB2312" w:eastAsia="仿宋_GB2312" w:cs="仿宋_GB2312"/>
          <w:color w:val="auto"/>
          <w:sz w:val="32"/>
          <w:szCs w:val="32"/>
          <w:lang w:eastAsia="zh-CN"/>
        </w:rPr>
        <w:t>；</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六</w:t>
      </w:r>
      <w:r>
        <w:rPr>
          <w:rFonts w:hint="eastAsia" w:ascii="仿宋_GB2312" w:hAnsi="仿宋_GB2312" w:eastAsia="仿宋_GB2312" w:cs="仿宋_GB2312"/>
          <w:color w:val="auto"/>
          <w:sz w:val="32"/>
          <w:szCs w:val="32"/>
        </w:rPr>
        <w:t>）附加与交易标的无关的其他不合理交易条件。</w:t>
      </w:r>
    </w:p>
    <w:p>
      <w:pPr>
        <w:pStyle w:val="4"/>
        <w:snapToGrid w:val="0"/>
        <w:spacing w:before="0" w:after="0" w:line="594" w:lineRule="exact"/>
        <w:ind w:firstLine="640"/>
        <w:jc w:val="both"/>
        <w:rPr>
          <w:rFonts w:ascii="黑体" w:hAnsi="黑体" w:eastAsia="黑体" w:cs="黑体"/>
          <w:b w:val="0"/>
          <w:bCs/>
          <w:color w:val="auto"/>
          <w:sz w:val="32"/>
          <w:szCs w:val="32"/>
        </w:rPr>
      </w:pPr>
      <w:bookmarkStart w:id="109" w:name="_Toc8235"/>
      <w:bookmarkStart w:id="110" w:name="_Toc1365676820"/>
      <w:bookmarkStart w:id="111" w:name="_Toc103687935"/>
      <w:r>
        <w:rPr>
          <w:rFonts w:hint="eastAsia" w:ascii="黑体" w:hAnsi="黑体" w:eastAsia="黑体" w:cs="黑体"/>
          <w:b w:val="0"/>
          <w:bCs/>
          <w:color w:val="auto"/>
          <w:sz w:val="32"/>
          <w:szCs w:val="32"/>
        </w:rPr>
        <w:t>第二十</w:t>
      </w:r>
      <w:r>
        <w:rPr>
          <w:rFonts w:hint="eastAsia" w:ascii="黑体" w:hAnsi="黑体" w:eastAsia="黑体" w:cs="黑体"/>
          <w:b w:val="0"/>
          <w:bCs/>
          <w:color w:val="auto"/>
          <w:sz w:val="32"/>
          <w:szCs w:val="32"/>
          <w:lang w:eastAsia="zh-CN"/>
        </w:rPr>
        <w:t>七</w:t>
      </w:r>
      <w:r>
        <w:rPr>
          <w:rFonts w:hint="eastAsia" w:ascii="黑体" w:hAnsi="黑体" w:eastAsia="黑体" w:cs="黑体"/>
          <w:b w:val="0"/>
          <w:bCs/>
          <w:color w:val="auto"/>
          <w:sz w:val="32"/>
          <w:szCs w:val="32"/>
        </w:rPr>
        <w:t>条  差别待遇</w:t>
      </w:r>
      <w:bookmarkEnd w:id="109"/>
      <w:bookmarkEnd w:id="110"/>
      <w:bookmarkEnd w:id="111"/>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禁止具有市场支配地位的药品经营者，没有正当理由对条件相同的交易相对人在交易条件上实行下列差别待遇：</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（一）药品的交易价格或者给予的折扣明显不同；</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（二）药品的品种、等级等明显不同；</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（三）药品交易的付款方式、交付方式等其他影响交易相对人参与市场竞争的条件明显不同。</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条件相同是指药品交易相对人之间在交易安全、交易成本、规模和能力、信用状况、所处交易环节、交易持续时间等方面不存在实质性影响交易的差别。</w:t>
      </w:r>
    </w:p>
    <w:p>
      <w:pPr>
        <w:pStyle w:val="4"/>
        <w:snapToGrid w:val="0"/>
        <w:spacing w:before="0" w:after="0" w:line="594" w:lineRule="exact"/>
        <w:ind w:firstLine="640"/>
        <w:jc w:val="both"/>
        <w:rPr>
          <w:rFonts w:ascii="黑体" w:hAnsi="黑体" w:eastAsia="黑体" w:cs="黑体"/>
          <w:b w:val="0"/>
          <w:bCs/>
          <w:color w:val="auto"/>
          <w:sz w:val="32"/>
          <w:szCs w:val="32"/>
        </w:rPr>
      </w:pPr>
      <w:bookmarkStart w:id="112" w:name="_Toc625094604"/>
      <w:bookmarkStart w:id="113" w:name="_Toc1073885828"/>
      <w:bookmarkStart w:id="114" w:name="_Toc22871"/>
      <w:bookmarkStart w:id="115" w:name="_Toc1383801252"/>
      <w:r>
        <w:rPr>
          <w:rFonts w:hint="eastAsia" w:ascii="黑体" w:hAnsi="黑体" w:eastAsia="黑体" w:cs="黑体"/>
          <w:b w:val="0"/>
          <w:bCs/>
          <w:color w:val="auto"/>
          <w:sz w:val="32"/>
          <w:szCs w:val="32"/>
        </w:rPr>
        <w:t>第二十</w:t>
      </w:r>
      <w:r>
        <w:rPr>
          <w:rFonts w:hint="eastAsia" w:ascii="黑体" w:hAnsi="黑体" w:eastAsia="黑体" w:cs="黑体"/>
          <w:b w:val="0"/>
          <w:bCs/>
          <w:color w:val="auto"/>
          <w:sz w:val="32"/>
          <w:szCs w:val="32"/>
          <w:lang w:eastAsia="zh-CN"/>
        </w:rPr>
        <w:t>八</w:t>
      </w:r>
      <w:r>
        <w:rPr>
          <w:rFonts w:hint="eastAsia" w:ascii="黑体" w:hAnsi="黑体" w:eastAsia="黑体" w:cs="黑体"/>
          <w:b w:val="0"/>
          <w:bCs/>
          <w:color w:val="auto"/>
          <w:sz w:val="32"/>
          <w:szCs w:val="32"/>
        </w:rPr>
        <w:t>条  其他滥用市场支配地位行为</w:t>
      </w:r>
      <w:bookmarkEnd w:id="112"/>
      <w:bookmarkEnd w:id="113"/>
      <w:bookmarkEnd w:id="114"/>
      <w:bookmarkEnd w:id="115"/>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药品经营者实施以不公平的低价购买商品、以低于成本的价格销售商品以及国务院反垄断执法机构认定的其他滥用市场支配地位行为的，依据《反垄断法》第三章和《禁止滥用市场支配地位行为规定》分析。</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具有市场支配地位的药品专利权人，通过对已有专利技术方案的重新设计，获取新的药品专利权，并采取停止销售、回购等措施，实现原专利药品向新专利药品转换的产品跳转行为，阻碍仿制药企业有效开展竞争的，可能构成《反垄断法》第二十二条第一款第七项禁止的滥用市场支配地位行为。</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国务院反垄断执法机构分析产品跳转行为是否构成滥用市场支配地位行为，可以考虑以下因素：</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（一）新专利药品是否属于非实质性改进，如仅转换药品剂型、将两种以上的药品组合成新药品，未能显著改进药品的用途或者功效、显著提升药品的安全性等；</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（二）原专利药品向新专利药品的转换行为是否阻碍、影响仿制药进入相关市场；</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（三）实施原专利药品向新专利药品的转换时，原专利是否接近有效期或者仿制药已计划进入相关市场；</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（四）患者、医师的选择范围是否会受到实质性限制；</w:t>
      </w:r>
    </w:p>
    <w:p>
      <w:pPr>
        <w:snapToGrid w:val="0"/>
        <w:spacing w:after="0" w:line="594" w:lineRule="exact"/>
        <w:ind w:firstLine="56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（五）是否存在正当理由。</w:t>
      </w:r>
      <w:bookmarkStart w:id="116" w:name="_Toc20375"/>
      <w:bookmarkStart w:id="117" w:name="_Toc1346541808"/>
    </w:p>
    <w:p>
      <w:pPr>
        <w:pStyle w:val="4"/>
        <w:snapToGrid w:val="0"/>
        <w:spacing w:before="0" w:after="0" w:line="594" w:lineRule="exact"/>
        <w:ind w:firstLine="640"/>
        <w:jc w:val="both"/>
        <w:rPr>
          <w:rFonts w:ascii="黑体" w:hAnsi="黑体" w:eastAsia="黑体" w:cs="黑体"/>
          <w:b w:val="0"/>
          <w:bCs/>
          <w:color w:val="auto"/>
          <w:sz w:val="32"/>
          <w:szCs w:val="32"/>
        </w:rPr>
      </w:pPr>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eastAsia="zh-CN"/>
        </w:rPr>
        <w:t>二十九</w:t>
      </w:r>
      <w:r>
        <w:rPr>
          <w:rFonts w:hint="eastAsia" w:ascii="黑体" w:hAnsi="黑体" w:eastAsia="黑体" w:cs="黑体"/>
          <w:b w:val="0"/>
          <w:bCs/>
          <w:color w:val="auto"/>
          <w:sz w:val="32"/>
          <w:szCs w:val="32"/>
        </w:rPr>
        <w:t>条  分工协作滥用市场支配地位</w:t>
      </w:r>
      <w:bookmarkEnd w:id="116"/>
      <w:bookmarkEnd w:id="117"/>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两个以上的药品经营者分工协作从事药品生产、经营活动并以相互配合的方式滥用市场支配地位的，反垄断执法机构可以结合个案情况，认定</w:t>
      </w:r>
      <w:r>
        <w:rPr>
          <w:rFonts w:ascii="仿宋_GB2312" w:hAnsi="仿宋_GB2312" w:eastAsia="仿宋_GB2312" w:cs="仿宋_GB2312"/>
          <w:color w:val="auto"/>
          <w:sz w:val="32"/>
          <w:szCs w:val="32"/>
        </w:rPr>
        <w:t>上述经营者</w:t>
      </w:r>
      <w:r>
        <w:rPr>
          <w:rFonts w:hint="eastAsia" w:ascii="仿宋_GB2312" w:hAnsi="仿宋_GB2312" w:eastAsia="仿宋_GB2312" w:cs="仿宋_GB2312"/>
          <w:color w:val="auto"/>
          <w:sz w:val="32"/>
          <w:szCs w:val="32"/>
        </w:rPr>
        <w:t>是实施滥用</w:t>
      </w:r>
      <w:r>
        <w:rPr>
          <w:rFonts w:ascii="仿宋_GB2312" w:hAnsi="仿宋_GB2312" w:eastAsia="仿宋_GB2312" w:cs="仿宋_GB2312"/>
          <w:color w:val="auto"/>
          <w:sz w:val="32"/>
          <w:szCs w:val="32"/>
        </w:rPr>
        <w:t>市场支配地位</w:t>
      </w:r>
      <w:r>
        <w:rPr>
          <w:rFonts w:hint="eastAsia" w:ascii="仿宋_GB2312" w:hAnsi="仿宋_GB2312" w:eastAsia="仿宋_GB2312" w:cs="仿宋_GB2312"/>
          <w:color w:val="auto"/>
          <w:sz w:val="32"/>
          <w:szCs w:val="32"/>
        </w:rPr>
        <w:t>行为的共同主体。</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分析两个以上的药品经营者是否</w:t>
      </w:r>
      <w:r>
        <w:rPr>
          <w:rFonts w:hint="eastAsia" w:ascii="仿宋_GB2312" w:hAnsi="仿宋_GB2312" w:eastAsia="仿宋_GB2312" w:cs="仿宋_GB2312"/>
          <w:color w:val="auto"/>
          <w:sz w:val="32"/>
          <w:szCs w:val="32"/>
          <w:lang w:eastAsia="zh-CN"/>
        </w:rPr>
        <w:t>是实施</w:t>
      </w:r>
      <w:r>
        <w:rPr>
          <w:rFonts w:hint="eastAsia" w:ascii="仿宋_GB2312" w:hAnsi="仿宋_GB2312" w:eastAsia="仿宋_GB2312" w:cs="仿宋_GB2312"/>
          <w:color w:val="auto"/>
          <w:sz w:val="32"/>
          <w:szCs w:val="32"/>
        </w:rPr>
        <w:t>滥用市场支配地位行为</w:t>
      </w:r>
      <w:r>
        <w:rPr>
          <w:rFonts w:hint="eastAsia" w:ascii="仿宋_GB2312" w:hAnsi="仿宋_GB2312" w:eastAsia="仿宋_GB2312" w:cs="仿宋_GB2312"/>
          <w:color w:val="auto"/>
          <w:sz w:val="32"/>
          <w:szCs w:val="32"/>
          <w:lang w:eastAsia="zh-CN"/>
        </w:rPr>
        <w:t>的共同主体</w:t>
      </w:r>
      <w:r>
        <w:rPr>
          <w:rFonts w:hint="eastAsia" w:ascii="仿宋_GB2312" w:hAnsi="仿宋_GB2312" w:eastAsia="仿宋_GB2312" w:cs="仿宋_GB2312"/>
          <w:color w:val="auto"/>
          <w:sz w:val="32"/>
          <w:szCs w:val="32"/>
        </w:rPr>
        <w:t>，可以考虑以下因素：</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（一）参与或者控制药品产业链的同一或者不同环节；</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（二）共同协商药品的采购、生产或者销售等活动并实行分工；</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（三）不同药品经营者的行为对垄断行为的实施不可或缺；</w:t>
      </w:r>
    </w:p>
    <w:p>
      <w:pPr>
        <w:snapToGrid w:val="0"/>
        <w:spacing w:after="0" w:line="594" w:lineRule="exact"/>
        <w:ind w:firstLine="560" w:firstLineChars="0"/>
        <w:jc w:val="both"/>
        <w:rPr>
          <w:rFonts w:ascii="仿宋_GB2312" w:hAnsi="仿宋_GB2312" w:eastAsia="仿宋_GB2312" w:cs="仿宋_GB2312"/>
          <w:color w:val="auto"/>
          <w:sz w:val="32"/>
          <w:szCs w:val="32"/>
          <w:lang w:eastAsia="zh"/>
        </w:rPr>
      </w:pPr>
      <w:r>
        <w:rPr>
          <w:rFonts w:hint="eastAsia" w:ascii="仿宋_GB2312" w:hAnsi="仿宋_GB2312" w:eastAsia="仿宋_GB2312" w:cs="仿宋_GB2312"/>
          <w:color w:val="auto"/>
          <w:sz w:val="32"/>
          <w:szCs w:val="32"/>
        </w:rPr>
        <w:t>（四）共同获取并分配垄断利润。</w:t>
      </w:r>
    </w:p>
    <w:p>
      <w:pPr>
        <w:pStyle w:val="4"/>
        <w:snapToGrid w:val="0"/>
        <w:spacing w:before="0" w:after="0" w:line="594" w:lineRule="exact"/>
        <w:ind w:firstLine="0" w:firstLineChars="0"/>
        <w:jc w:val="both"/>
        <w:rPr>
          <w:rFonts w:ascii="黑体" w:hAnsi="黑体" w:eastAsia="黑体" w:cs="黑体"/>
          <w:b w:val="0"/>
          <w:bCs/>
          <w:color w:val="auto"/>
          <w:sz w:val="32"/>
          <w:szCs w:val="32"/>
        </w:rPr>
      </w:pPr>
      <w:bookmarkStart w:id="118" w:name="_Toc1721350864"/>
      <w:bookmarkStart w:id="119" w:name="_Toc475008304"/>
      <w:bookmarkStart w:id="120" w:name="_Toc1145494970"/>
      <w:bookmarkStart w:id="121" w:name="_Toc18747"/>
    </w:p>
    <w:p>
      <w:pPr>
        <w:pStyle w:val="4"/>
        <w:snapToGrid w:val="0"/>
        <w:spacing w:before="0" w:after="0" w:line="594" w:lineRule="exact"/>
        <w:ind w:firstLine="0" w:firstLineChars="0"/>
        <w:jc w:val="center"/>
        <w:rPr>
          <w:rFonts w:ascii="黑体" w:hAnsi="黑体" w:eastAsia="黑体" w:cs="黑体"/>
          <w:b w:val="0"/>
          <w:bCs/>
          <w:color w:val="auto"/>
          <w:sz w:val="32"/>
          <w:szCs w:val="32"/>
        </w:rPr>
      </w:pPr>
      <w:r>
        <w:rPr>
          <w:rFonts w:hint="eastAsia" w:ascii="黑体" w:hAnsi="黑体" w:eastAsia="黑体" w:cs="黑体"/>
          <w:b w:val="0"/>
          <w:bCs/>
          <w:color w:val="auto"/>
          <w:sz w:val="32"/>
          <w:szCs w:val="32"/>
        </w:rPr>
        <w:t>第四章 经营者集中</w:t>
      </w:r>
      <w:bookmarkEnd w:id="118"/>
      <w:bookmarkEnd w:id="119"/>
      <w:bookmarkEnd w:id="120"/>
      <w:bookmarkEnd w:id="121"/>
    </w:p>
    <w:p>
      <w:pPr>
        <w:snapToGrid w:val="0"/>
        <w:spacing w:after="0" w:line="594" w:lineRule="exact"/>
        <w:jc w:val="both"/>
        <w:rPr>
          <w:color w:val="auto"/>
        </w:rPr>
      </w:pPr>
    </w:p>
    <w:p>
      <w:pPr>
        <w:pStyle w:val="4"/>
        <w:snapToGrid w:val="0"/>
        <w:spacing w:before="0" w:after="0" w:line="594" w:lineRule="exact"/>
        <w:ind w:firstLine="640"/>
        <w:jc w:val="both"/>
        <w:rPr>
          <w:rFonts w:ascii="黑体" w:hAnsi="黑体" w:eastAsia="黑体" w:cs="黑体"/>
          <w:b w:val="0"/>
          <w:bCs/>
          <w:color w:val="auto"/>
          <w:sz w:val="32"/>
          <w:szCs w:val="32"/>
        </w:rPr>
      </w:pPr>
      <w:r>
        <w:rPr>
          <w:rFonts w:hint="eastAsia" w:ascii="黑体" w:hAnsi="黑体" w:eastAsia="黑体" w:cs="黑体"/>
          <w:b w:val="0"/>
          <w:bCs/>
          <w:color w:val="auto"/>
          <w:sz w:val="32"/>
          <w:szCs w:val="32"/>
        </w:rPr>
        <w:t>第三十条  整体分析框架</w:t>
      </w:r>
    </w:p>
    <w:p>
      <w:pPr>
        <w:snapToGrid w:val="0"/>
        <w:spacing w:after="0" w:line="594" w:lineRule="exact"/>
        <w:ind w:firstLine="561"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反垄断法》禁止经营者实施具有或者可能具有排除、限制竞争效果的经营者集中。药品领域的经营者集中达到《国务院关于经营者集中申报标准的规定》规定的申报标准的，应当事先向国务院反垄断执法机构申报，未申报或者申报后未获得批准的不得实施集中。国务院反垄断执法机构依据《反垄断法》和《经营者集中审查规定》，对药品领域的经营者集中进行审查，并对违法实施的经营者集中进行调查处理。</w:t>
      </w:r>
    </w:p>
    <w:p>
      <w:pPr>
        <w:pStyle w:val="4"/>
        <w:snapToGrid w:val="0"/>
        <w:spacing w:before="0" w:after="0" w:line="594" w:lineRule="exact"/>
        <w:ind w:firstLine="640"/>
        <w:jc w:val="both"/>
        <w:rPr>
          <w:rFonts w:ascii="黑体" w:hAnsi="黑体" w:eastAsia="黑体" w:cs="黑体"/>
          <w:b w:val="0"/>
          <w:bCs/>
          <w:color w:val="auto"/>
          <w:sz w:val="32"/>
          <w:szCs w:val="32"/>
        </w:rPr>
      </w:pPr>
      <w:r>
        <w:rPr>
          <w:rFonts w:hint="eastAsia" w:ascii="黑体" w:hAnsi="黑体" w:eastAsia="黑体" w:cs="黑体"/>
          <w:b w:val="0"/>
          <w:bCs/>
          <w:color w:val="auto"/>
          <w:sz w:val="32"/>
          <w:szCs w:val="32"/>
        </w:rPr>
        <w:t>第三十</w:t>
      </w:r>
      <w:r>
        <w:rPr>
          <w:rFonts w:hint="eastAsia" w:ascii="黑体" w:hAnsi="黑体" w:eastAsia="黑体" w:cs="黑体"/>
          <w:b w:val="0"/>
          <w:bCs/>
          <w:color w:val="auto"/>
          <w:sz w:val="32"/>
          <w:szCs w:val="32"/>
          <w:lang w:eastAsia="zh-CN"/>
        </w:rPr>
        <w:t>一</w:t>
      </w:r>
      <w:r>
        <w:rPr>
          <w:rFonts w:hint="eastAsia" w:ascii="黑体" w:hAnsi="黑体" w:eastAsia="黑体" w:cs="黑体"/>
          <w:b w:val="0"/>
          <w:bCs/>
          <w:color w:val="auto"/>
          <w:sz w:val="32"/>
          <w:szCs w:val="32"/>
        </w:rPr>
        <w:t>条  未达申报标准的经营者集中</w:t>
      </w:r>
    </w:p>
    <w:p>
      <w:pPr>
        <w:snapToGrid w:val="0"/>
        <w:spacing w:after="0" w:line="594" w:lineRule="exact"/>
        <w:ind w:firstLine="561"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由于部分药品品种市场规模相对较小或者药品经营者处于早期发展阶段，经营者年度营业额可能没有达到国务院规定的申报标准。药品领域的经营者集中未达到申报标准，但有证据证明该经营者集中具有或者可能具有排除、限制竞争效果</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，国务院反垄断执法机构可以要求经营者申报并书面通知经营者。</w:t>
      </w:r>
    </w:p>
    <w:p>
      <w:pPr>
        <w:snapToGrid w:val="0"/>
        <w:spacing w:after="0" w:line="594" w:lineRule="exact"/>
        <w:ind w:firstLine="561"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任何单位和个人发现未达申报标准但具有或者可能具有排除、限制竞争效果的经营者集中,可以向国务院反垄断执法机构书面反映,并提供相关事实和证据。国务院反垄断执法机构经核查,对有证据证明未达申报标准的经营者集中具有或者可能具有排除、限制竞争效果的,依照《经营者集中审查规定》第八条进行处理。</w:t>
      </w:r>
    </w:p>
    <w:p>
      <w:pPr>
        <w:snapToGrid w:val="0"/>
        <w:spacing w:after="0" w:line="594" w:lineRule="exact"/>
        <w:ind w:firstLine="561" w:firstLineChars="0"/>
        <w:jc w:val="both"/>
        <w:rPr>
          <w:rFonts w:ascii="黑体" w:hAnsi="黑体" w:eastAsia="黑体" w:cs="黑体"/>
          <w:bCs/>
          <w:color w:val="auto"/>
          <w:sz w:val="32"/>
          <w:szCs w:val="32"/>
        </w:rPr>
      </w:pPr>
      <w:r>
        <w:rPr>
          <w:rFonts w:hint="eastAsia" w:ascii="黑体" w:hAnsi="黑体" w:eastAsia="黑体" w:cs="黑体"/>
          <w:bCs/>
          <w:color w:val="auto"/>
          <w:sz w:val="32"/>
          <w:szCs w:val="32"/>
        </w:rPr>
        <w:t>第三十</w:t>
      </w:r>
      <w:r>
        <w:rPr>
          <w:rFonts w:hint="eastAsia" w:ascii="黑体" w:hAnsi="黑体" w:eastAsia="黑体" w:cs="黑体"/>
          <w:bCs/>
          <w:color w:val="auto"/>
          <w:sz w:val="32"/>
          <w:szCs w:val="32"/>
          <w:lang w:eastAsia="zh-CN"/>
        </w:rPr>
        <w:t>二</w:t>
      </w:r>
      <w:r>
        <w:rPr>
          <w:rFonts w:hint="eastAsia" w:ascii="黑体" w:hAnsi="黑体" w:eastAsia="黑体" w:cs="黑体"/>
          <w:bCs/>
          <w:color w:val="auto"/>
          <w:sz w:val="32"/>
          <w:szCs w:val="32"/>
        </w:rPr>
        <w:t>条  药品经营者依法实施经营者集中的规定</w:t>
      </w:r>
    </w:p>
    <w:p>
      <w:pPr>
        <w:snapToGrid w:val="0"/>
        <w:spacing w:after="0" w:line="594" w:lineRule="exact"/>
        <w:ind w:firstLine="561"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药品经营者可以通过公平竞争、自愿联合，依法实施集中，扩大经营规模，提高市场竞争</w:t>
      </w:r>
      <w:r>
        <w:rPr>
          <w:rFonts w:hint="eastAsia" w:ascii="仿宋_GB2312" w:hAnsi="仿宋_GB2312" w:eastAsia="仿宋_GB2312" w:cs="仿宋_GB2312"/>
          <w:color w:val="auto"/>
          <w:sz w:val="32"/>
          <w:szCs w:val="32"/>
          <w:lang w:eastAsia="zh-CN"/>
        </w:rPr>
        <w:t>能</w:t>
      </w:r>
      <w:r>
        <w:rPr>
          <w:rFonts w:hint="eastAsia" w:ascii="仿宋_GB2312" w:hAnsi="仿宋_GB2312" w:eastAsia="仿宋_GB2312" w:cs="仿宋_GB2312"/>
          <w:color w:val="auto"/>
          <w:sz w:val="32"/>
          <w:szCs w:val="32"/>
        </w:rPr>
        <w:t>力，特别是药品研发创新能力。</w:t>
      </w:r>
    </w:p>
    <w:p>
      <w:pPr>
        <w:snapToGrid w:val="0"/>
        <w:spacing w:after="0" w:line="594" w:lineRule="exact"/>
        <w:ind w:firstLine="561" w:firstLineChars="0"/>
        <w:jc w:val="both"/>
        <w:rPr>
          <w:rFonts w:ascii="黑体" w:hAnsi="黑体" w:eastAsia="黑体" w:cs="黑体"/>
          <w:bCs/>
          <w:color w:val="auto"/>
          <w:sz w:val="32"/>
          <w:szCs w:val="32"/>
        </w:rPr>
      </w:pPr>
      <w:r>
        <w:rPr>
          <w:rFonts w:hint="eastAsia" w:ascii="黑体" w:hAnsi="黑体" w:eastAsia="黑体" w:cs="黑体"/>
          <w:bCs/>
          <w:color w:val="auto"/>
          <w:sz w:val="32"/>
          <w:szCs w:val="32"/>
        </w:rPr>
        <w:t>第三十</w:t>
      </w:r>
      <w:r>
        <w:rPr>
          <w:rFonts w:hint="eastAsia" w:ascii="黑体" w:hAnsi="黑体" w:eastAsia="黑体" w:cs="黑体"/>
          <w:bCs/>
          <w:color w:val="auto"/>
          <w:sz w:val="32"/>
          <w:szCs w:val="32"/>
          <w:lang w:eastAsia="zh-CN"/>
        </w:rPr>
        <w:t>三</w:t>
      </w:r>
      <w:r>
        <w:rPr>
          <w:rFonts w:hint="eastAsia" w:ascii="黑体" w:hAnsi="黑体" w:eastAsia="黑体" w:cs="黑体"/>
          <w:bCs/>
          <w:color w:val="auto"/>
          <w:sz w:val="32"/>
          <w:szCs w:val="32"/>
        </w:rPr>
        <w:t>条  药品领域经营者集中的常见类型</w:t>
      </w:r>
    </w:p>
    <w:p>
      <w:pPr>
        <w:snapToGrid w:val="0"/>
        <w:spacing w:after="0" w:line="594" w:lineRule="exact"/>
        <w:ind w:firstLine="561" w:firstLineChars="0"/>
        <w:jc w:val="both"/>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药品领域经营者集中包括横向集中、纵向集中和混合集中等。横向经营者集中，是指参与集中的经营者为同一相关市场中的实际或者潜在竞争者的经营者集中。在药品领域，判断涉及潜在竞争者的经营者集中可能需要考察未上市药品包括在研药品等情况。纵向经营者集中，是指分别处于同一供应链的不同层级的经营者之间的集中。在药品领域，纵向经营者集中包括但不限于上游原料药生产企业与下游药品生产企业之间的集中，上游药品研发服务</w:t>
      </w:r>
      <w:r>
        <w:rPr>
          <w:rFonts w:hint="eastAsia" w:ascii="仿宋_GB2312" w:hAnsi="仿宋_GB2312" w:eastAsia="仿宋_GB2312" w:cs="仿宋_GB2312"/>
          <w:bCs/>
          <w:color w:val="auto"/>
          <w:sz w:val="32"/>
          <w:szCs w:val="32"/>
          <w:lang w:eastAsia="zh-CN"/>
        </w:rPr>
        <w:t>企业</w:t>
      </w:r>
      <w:r>
        <w:rPr>
          <w:rFonts w:hint="eastAsia" w:ascii="仿宋_GB2312" w:hAnsi="仿宋_GB2312" w:eastAsia="仿宋_GB2312" w:cs="仿宋_GB2312"/>
          <w:bCs/>
          <w:color w:val="auto"/>
          <w:sz w:val="32"/>
          <w:szCs w:val="32"/>
        </w:rPr>
        <w:t>与下游药品生产企业之间的集中，上游药品生产企业与下游药品经营企业之间的集中等。混合经营者集中，</w:t>
      </w:r>
      <w:r>
        <w:rPr>
          <w:rFonts w:hint="eastAsia" w:ascii="仿宋_GB2312" w:hAnsi="仿宋_GB2312" w:eastAsia="仿宋_GB2312" w:cs="仿宋_GB2312"/>
          <w:bCs/>
          <w:color w:val="auto"/>
          <w:sz w:val="32"/>
          <w:szCs w:val="32"/>
          <w:lang w:eastAsia="zh-CN"/>
        </w:rPr>
        <w:t>一般</w:t>
      </w:r>
      <w:r>
        <w:rPr>
          <w:rFonts w:hint="eastAsia" w:ascii="仿宋_GB2312" w:hAnsi="仿宋_GB2312" w:eastAsia="仿宋_GB2312" w:cs="仿宋_GB2312"/>
          <w:bCs/>
          <w:color w:val="auto"/>
          <w:sz w:val="32"/>
          <w:szCs w:val="32"/>
        </w:rPr>
        <w:t>指既不存在横向竞争关系也不存在纵向关系的经营者之间的集中。对药品领域的混合经营者集中，反垄断执法机构</w:t>
      </w:r>
      <w:r>
        <w:rPr>
          <w:rFonts w:hint="eastAsia" w:ascii="仿宋_GB2312" w:hAnsi="仿宋_GB2312" w:eastAsia="仿宋_GB2312" w:cs="仿宋_GB2312"/>
          <w:bCs/>
          <w:color w:val="auto"/>
          <w:sz w:val="32"/>
          <w:szCs w:val="32"/>
          <w:lang w:eastAsia="zh-CN"/>
        </w:rPr>
        <w:t>重点</w:t>
      </w:r>
      <w:r>
        <w:rPr>
          <w:rFonts w:hint="eastAsia" w:ascii="仿宋_GB2312" w:hAnsi="仿宋_GB2312" w:eastAsia="仿宋_GB2312" w:cs="仿宋_GB2312"/>
          <w:bCs/>
          <w:color w:val="auto"/>
          <w:sz w:val="32"/>
          <w:szCs w:val="32"/>
        </w:rPr>
        <w:t>关注具有相邻或者互补等关系的经营者之间的集中。</w:t>
      </w:r>
    </w:p>
    <w:p>
      <w:pPr>
        <w:pStyle w:val="4"/>
        <w:snapToGrid w:val="0"/>
        <w:spacing w:before="0" w:after="0" w:line="594" w:lineRule="exact"/>
        <w:ind w:firstLine="640"/>
        <w:jc w:val="both"/>
        <w:rPr>
          <w:rFonts w:ascii="黑体" w:hAnsi="黑体" w:eastAsia="黑体" w:cs="黑体"/>
          <w:b w:val="0"/>
          <w:bCs/>
          <w:color w:val="auto"/>
          <w:sz w:val="32"/>
          <w:szCs w:val="32"/>
        </w:rPr>
      </w:pPr>
      <w:r>
        <w:rPr>
          <w:rFonts w:hint="eastAsia" w:ascii="黑体" w:hAnsi="黑体" w:eastAsia="黑体" w:cs="黑体"/>
          <w:b w:val="0"/>
          <w:bCs/>
          <w:color w:val="auto"/>
          <w:sz w:val="32"/>
          <w:szCs w:val="32"/>
        </w:rPr>
        <w:t>第三十</w:t>
      </w:r>
      <w:r>
        <w:rPr>
          <w:rFonts w:hint="eastAsia" w:ascii="黑体" w:hAnsi="黑体" w:eastAsia="黑体" w:cs="黑体"/>
          <w:b w:val="0"/>
          <w:bCs/>
          <w:color w:val="auto"/>
          <w:sz w:val="32"/>
          <w:szCs w:val="32"/>
          <w:lang w:eastAsia="zh-CN"/>
        </w:rPr>
        <w:t>四</w:t>
      </w:r>
      <w:r>
        <w:rPr>
          <w:rFonts w:hint="eastAsia" w:ascii="黑体" w:hAnsi="黑体" w:eastAsia="黑体" w:cs="黑体"/>
          <w:b w:val="0"/>
          <w:bCs/>
          <w:color w:val="auto"/>
          <w:sz w:val="32"/>
          <w:szCs w:val="32"/>
        </w:rPr>
        <w:t>条</w:t>
      </w:r>
      <w:r>
        <w:rPr>
          <w:rFonts w:hint="eastAsia" w:ascii="Calibri" w:hAnsi="Calibri" w:eastAsia="黑体" w:cs="Calibri"/>
          <w:b w:val="0"/>
          <w:bCs/>
          <w:color w:val="auto"/>
          <w:sz w:val="32"/>
          <w:szCs w:val="32"/>
        </w:rPr>
        <w:t xml:space="preserve">  </w:t>
      </w:r>
      <w:r>
        <w:rPr>
          <w:rFonts w:hint="eastAsia" w:ascii="黑体" w:hAnsi="黑体" w:eastAsia="黑体" w:cs="黑体"/>
          <w:b w:val="0"/>
          <w:bCs/>
          <w:color w:val="auto"/>
          <w:sz w:val="32"/>
          <w:szCs w:val="32"/>
        </w:rPr>
        <w:t>涉及知识产权的交易可能构成经营者集中的情形</w:t>
      </w:r>
    </w:p>
    <w:p>
      <w:pPr>
        <w:snapToGrid w:val="0"/>
        <w:spacing w:after="0" w:line="594" w:lineRule="exact"/>
        <w:ind w:firstLine="560" w:firstLineChars="0"/>
        <w:jc w:val="both"/>
        <w:rPr>
          <w:rFonts w:ascii="黑体" w:hAnsi="黑体" w:eastAsia="黑体" w:cs="黑体"/>
          <w:bCs/>
          <w:color w:val="auto"/>
          <w:sz w:val="32"/>
          <w:szCs w:val="32"/>
        </w:rPr>
      </w:pPr>
      <w:r>
        <w:rPr>
          <w:rFonts w:hint="eastAsia" w:ascii="仿宋_GB2312" w:hAnsi="仿宋_GB2312" w:eastAsia="仿宋_GB2312" w:cs="仿宋_GB2312"/>
          <w:color w:val="auto"/>
          <w:sz w:val="32"/>
          <w:szCs w:val="32"/>
        </w:rPr>
        <w:t>药品行业属于知识产权密集行业。经营者通过涉及药品知识产权的交易取得对其他经营者的控制权或者能够对其他经营者施加决定性影响，可能构成经营者集中。</w:t>
      </w:r>
    </w:p>
    <w:p>
      <w:pPr>
        <w:pStyle w:val="4"/>
        <w:snapToGrid w:val="0"/>
        <w:spacing w:before="0" w:after="0" w:line="594" w:lineRule="exact"/>
        <w:ind w:firstLine="640"/>
        <w:jc w:val="both"/>
        <w:rPr>
          <w:rFonts w:ascii="黑体" w:hAnsi="黑体" w:eastAsia="黑体" w:cs="黑体"/>
          <w:b w:val="0"/>
          <w:bCs/>
          <w:color w:val="auto"/>
          <w:sz w:val="32"/>
          <w:szCs w:val="32"/>
        </w:rPr>
      </w:pPr>
      <w:r>
        <w:rPr>
          <w:rFonts w:hint="eastAsia" w:ascii="黑体" w:hAnsi="黑体" w:eastAsia="黑体" w:cs="黑体"/>
          <w:b w:val="0"/>
          <w:bCs/>
          <w:color w:val="auto"/>
          <w:sz w:val="32"/>
          <w:szCs w:val="32"/>
        </w:rPr>
        <w:t>第三十</w:t>
      </w:r>
      <w:r>
        <w:rPr>
          <w:rFonts w:hint="eastAsia" w:ascii="黑体" w:hAnsi="黑体" w:eastAsia="黑体" w:cs="黑体"/>
          <w:b w:val="0"/>
          <w:bCs/>
          <w:color w:val="auto"/>
          <w:sz w:val="32"/>
          <w:szCs w:val="32"/>
          <w:lang w:eastAsia="zh-CN"/>
        </w:rPr>
        <w:t>五</w:t>
      </w:r>
      <w:r>
        <w:rPr>
          <w:rFonts w:hint="eastAsia" w:ascii="黑体" w:hAnsi="黑体" w:eastAsia="黑体" w:cs="黑体"/>
          <w:b w:val="0"/>
          <w:bCs/>
          <w:color w:val="auto"/>
          <w:sz w:val="32"/>
          <w:szCs w:val="32"/>
        </w:rPr>
        <w:t>条  药品领域经营者集中审查的考量因素</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国务院反垄断执法机构审查药品领域的经营者集中，依据《反垄断法》第三十三条和《经营者集中审查规定》第三章有关规定，考察以下因素：</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参与集中的经营者在相关市场的市场份额及其对市场的控制力。评估药品经营者对市场的控制力,可以考虑参与集中的药品经营者在相关市场的市场份额、药品的替代程度、控制药品销售市场或者药品原材料采购市场的能力、财力、研发创新能力、药品上市许可资</w:t>
      </w:r>
      <w:r>
        <w:rPr>
          <w:rFonts w:hint="eastAsia" w:ascii="仿宋_GB2312" w:hAnsi="仿宋_GB2312" w:eastAsia="仿宋_GB2312" w:cs="仿宋_GB2312"/>
          <w:color w:val="auto"/>
          <w:sz w:val="32"/>
          <w:szCs w:val="32"/>
          <w:lang w:eastAsia="zh-CN"/>
        </w:rPr>
        <w:t>质</w:t>
      </w:r>
      <w:r>
        <w:rPr>
          <w:rFonts w:hint="eastAsia" w:ascii="仿宋_GB2312" w:hAnsi="仿宋_GB2312" w:eastAsia="仿宋_GB2312" w:cs="仿宋_GB2312"/>
          <w:color w:val="auto"/>
          <w:sz w:val="32"/>
          <w:szCs w:val="32"/>
        </w:rPr>
        <w:t>、拥有专利/专有技术/药品数据等情况、参与或者控制药品产业链的情况</w:t>
      </w:r>
      <w:r>
        <w:rPr>
          <w:rFonts w:hint="eastAsia" w:ascii="仿宋_GB2312" w:hAnsi="仿宋_GB2312" w:eastAsia="仿宋_GB2312" w:cs="仿宋_GB2312"/>
          <w:color w:val="auto"/>
          <w:sz w:val="32"/>
          <w:szCs w:val="32"/>
          <w:lang w:eastAsia="zh-CN"/>
        </w:rPr>
        <w:t>等</w:t>
      </w:r>
      <w:r>
        <w:rPr>
          <w:rFonts w:hint="eastAsia" w:ascii="仿宋_GB2312" w:hAnsi="仿宋_GB2312" w:eastAsia="仿宋_GB2312" w:cs="仿宋_GB2312"/>
          <w:color w:val="auto"/>
          <w:sz w:val="32"/>
          <w:szCs w:val="32"/>
        </w:rPr>
        <w:t>,以及相关市场的市场结构、其他经营者的研发生产能力、下游客户购买能力和转换供应商的能力、潜在竞争者进入的抵消效果等因素；</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（二）相关市场的市场集中度，如相关市场的经营者数量及市场份额等因素；</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（三）经营者集中对市场进入、技术进步的影响。评估经营者集中对市场进入的影响,可以考虑药品经营者通过控制原料药等生产要素、药品销售和采购渠道、关键技术、关键设施、</w:t>
      </w:r>
      <w:r>
        <w:rPr>
          <w:rFonts w:hint="eastAsia" w:ascii="仿宋_GB2312" w:hAnsi="仿宋_GB2312" w:eastAsia="仿宋_GB2312" w:cs="仿宋_GB2312"/>
          <w:color w:val="auto"/>
          <w:sz w:val="32"/>
          <w:szCs w:val="32"/>
          <w:lang w:eastAsia="zh-CN"/>
        </w:rPr>
        <w:t>上市许可资质、</w:t>
      </w:r>
      <w:r>
        <w:rPr>
          <w:rFonts w:hint="eastAsia" w:ascii="仿宋_GB2312" w:hAnsi="仿宋_GB2312" w:eastAsia="仿宋_GB2312" w:cs="仿宋_GB2312"/>
          <w:color w:val="auto"/>
          <w:sz w:val="32"/>
          <w:szCs w:val="32"/>
        </w:rPr>
        <w:t>药品数据等方式影响药品市场进入的情况，并考虑市场进入的可能性、及时性和充分性。评估经营者集中对技术进步的影响,可以考虑经营者集中对药品</w:t>
      </w:r>
      <w:r>
        <w:rPr>
          <w:rFonts w:hint="eastAsia" w:ascii="仿宋_GB2312" w:hAnsi="仿宋_GB2312" w:eastAsia="仿宋_GB2312" w:cs="仿宋_GB2312"/>
          <w:color w:val="auto"/>
          <w:sz w:val="32"/>
          <w:szCs w:val="32"/>
          <w:lang w:eastAsia="zh-CN"/>
        </w:rPr>
        <w:t>研发</w:t>
      </w:r>
      <w:r>
        <w:rPr>
          <w:rFonts w:hint="eastAsia" w:ascii="仿宋_GB2312" w:hAnsi="仿宋_GB2312" w:eastAsia="仿宋_GB2312" w:cs="仿宋_GB2312"/>
          <w:color w:val="auto"/>
          <w:sz w:val="32"/>
          <w:szCs w:val="32"/>
        </w:rPr>
        <w:t>创新动力和能力、</w:t>
      </w:r>
      <w:r>
        <w:rPr>
          <w:rFonts w:hint="eastAsia" w:ascii="仿宋_GB2312" w:hAnsi="仿宋_GB2312" w:eastAsia="仿宋_GB2312" w:cs="仿宋_GB2312"/>
          <w:color w:val="auto"/>
          <w:sz w:val="32"/>
          <w:szCs w:val="32"/>
          <w:lang w:eastAsia="zh"/>
        </w:rPr>
        <w:t>药品</w:t>
      </w:r>
      <w:r>
        <w:rPr>
          <w:rFonts w:hint="eastAsia" w:ascii="仿宋_GB2312" w:hAnsi="仿宋_GB2312" w:eastAsia="仿宋_GB2312" w:cs="仿宋_GB2312"/>
          <w:color w:val="auto"/>
          <w:sz w:val="32"/>
          <w:szCs w:val="32"/>
        </w:rPr>
        <w:t>研发投入、</w:t>
      </w:r>
      <w:r>
        <w:rPr>
          <w:rFonts w:hint="eastAsia" w:ascii="仿宋_GB2312" w:hAnsi="仿宋_GB2312" w:eastAsia="仿宋_GB2312" w:cs="仿宋_GB2312"/>
          <w:color w:val="auto"/>
          <w:sz w:val="32"/>
          <w:szCs w:val="32"/>
          <w:lang w:eastAsia="zh-CN"/>
        </w:rPr>
        <w:t>药品研制技术利用</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技术资源整合等方面的影响；</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（四）经营者集中对消费者和其他有关经营者的影响。评估药品领域经营者集中对消费者的影响,可以考虑</w:t>
      </w:r>
      <w:r>
        <w:rPr>
          <w:rFonts w:hint="eastAsia" w:ascii="仿宋_GB2312" w:hAnsi="仿宋_GB2312" w:eastAsia="仿宋_GB2312" w:cs="仿宋_GB2312"/>
          <w:color w:val="auto"/>
          <w:sz w:val="32"/>
          <w:szCs w:val="32"/>
          <w:lang w:eastAsia="zh-CN"/>
        </w:rPr>
        <w:t>对药品多样性、安全性、有效性、质量可控性、可及性、稳定供应等方面的影响，以及是否缩短药品上市周期、降低消费者用药负担等其他</w:t>
      </w:r>
      <w:r>
        <w:rPr>
          <w:rFonts w:hint="eastAsia" w:ascii="仿宋_GB2312" w:hAnsi="仿宋_GB2312" w:eastAsia="仿宋_GB2312" w:cs="仿宋_GB2312"/>
          <w:color w:val="auto"/>
          <w:sz w:val="32"/>
          <w:szCs w:val="32"/>
        </w:rPr>
        <w:t>消费者用药权益</w:t>
      </w:r>
      <w:r>
        <w:rPr>
          <w:rFonts w:hint="eastAsia" w:ascii="仿宋_GB2312" w:hAnsi="仿宋_GB2312" w:eastAsia="仿宋_GB2312" w:cs="仿宋_GB2312"/>
          <w:color w:val="auto"/>
          <w:sz w:val="32"/>
          <w:szCs w:val="32"/>
          <w:lang w:eastAsia="zh-CN"/>
        </w:rPr>
        <w:t>方面</w:t>
      </w:r>
      <w:r>
        <w:rPr>
          <w:rFonts w:hint="eastAsia" w:ascii="仿宋_GB2312" w:hAnsi="仿宋_GB2312" w:eastAsia="仿宋_GB2312" w:cs="仿宋_GB2312"/>
          <w:color w:val="auto"/>
          <w:sz w:val="32"/>
          <w:szCs w:val="32"/>
        </w:rPr>
        <w:t>的影响。评估药品领域经营者集中对其他有关经营者的影响,可以考虑经营者集中对同一相关市场、上下游市场或者关联市场经营者的市场进入、交易机会等竞争条件的影响；</w:t>
      </w:r>
    </w:p>
    <w:p>
      <w:pPr>
        <w:snapToGrid w:val="0"/>
        <w:spacing w:after="0" w:line="594" w:lineRule="exact"/>
        <w:ind w:firstLine="560" w:firstLineChars="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（五）</w:t>
      </w:r>
      <w:r>
        <w:rPr>
          <w:rFonts w:hint="eastAsia" w:ascii="仿宋_GB2312" w:hAnsi="仿宋_GB2312" w:eastAsia="仿宋_GB2312" w:cs="仿宋_GB2312"/>
          <w:color w:val="auto"/>
          <w:sz w:val="32"/>
          <w:szCs w:val="32"/>
          <w:lang w:eastAsia="zh-CN"/>
        </w:rPr>
        <w:t>评估药品领域经营者集中的竞争影响，还可以综合考虑</w:t>
      </w:r>
      <w:r>
        <w:rPr>
          <w:rFonts w:hint="eastAsia" w:ascii="仿宋_GB2312" w:hAnsi="仿宋_GB2312" w:eastAsia="仿宋_GB2312" w:cs="仿宋_GB2312"/>
          <w:color w:val="auto"/>
          <w:sz w:val="32"/>
          <w:szCs w:val="32"/>
        </w:rPr>
        <w:t>集中对国民经济发展的影响</w:t>
      </w:r>
      <w:r>
        <w:rPr>
          <w:rFonts w:hint="eastAsia" w:ascii="仿宋_GB2312" w:hAnsi="仿宋_GB2312" w:eastAsia="仿宋_GB2312" w:cs="仿宋_GB2312"/>
          <w:color w:val="auto"/>
          <w:sz w:val="32"/>
          <w:szCs w:val="32"/>
          <w:lang w:eastAsia="zh-CN"/>
        </w:rPr>
        <w:t>、对公共利益的影响、参与集中的经营者是否为濒临破产的企业等因素。</w:t>
      </w:r>
    </w:p>
    <w:p>
      <w:pPr>
        <w:pStyle w:val="4"/>
        <w:snapToGrid w:val="0"/>
        <w:spacing w:before="0" w:after="0" w:line="594" w:lineRule="exact"/>
        <w:ind w:firstLine="640"/>
        <w:jc w:val="both"/>
        <w:rPr>
          <w:rFonts w:ascii="黑体" w:hAnsi="黑体" w:eastAsia="黑体" w:cs="黑体"/>
          <w:b w:val="0"/>
          <w:bCs/>
          <w:color w:val="auto"/>
          <w:sz w:val="32"/>
          <w:szCs w:val="32"/>
        </w:rPr>
      </w:pPr>
      <w:r>
        <w:rPr>
          <w:rFonts w:hint="eastAsia" w:ascii="黑体" w:hAnsi="黑体" w:eastAsia="黑体" w:cs="黑体"/>
          <w:b w:val="0"/>
          <w:bCs/>
          <w:color w:val="auto"/>
          <w:sz w:val="32"/>
          <w:szCs w:val="32"/>
        </w:rPr>
        <w:t>第三十</w:t>
      </w:r>
      <w:r>
        <w:rPr>
          <w:rFonts w:hint="eastAsia" w:ascii="黑体" w:hAnsi="黑体" w:eastAsia="黑体" w:cs="黑体"/>
          <w:b w:val="0"/>
          <w:bCs/>
          <w:color w:val="auto"/>
          <w:sz w:val="32"/>
          <w:szCs w:val="32"/>
          <w:lang w:eastAsia="zh-CN"/>
        </w:rPr>
        <w:t>六</w:t>
      </w:r>
      <w:r>
        <w:rPr>
          <w:rFonts w:hint="eastAsia" w:ascii="黑体" w:hAnsi="黑体" w:eastAsia="黑体" w:cs="黑体"/>
          <w:b w:val="0"/>
          <w:bCs/>
          <w:color w:val="auto"/>
          <w:sz w:val="32"/>
          <w:szCs w:val="32"/>
        </w:rPr>
        <w:t>条  附加限制性条件</w:t>
      </w:r>
    </w:p>
    <w:p>
      <w:pPr>
        <w:snapToGrid w:val="0"/>
        <w:spacing w:after="0" w:line="594" w:lineRule="exact"/>
        <w:ind w:firstLine="560" w:firstLineChars="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对于具有或者可能具有排除、限制竞争效果的经营者集中，国务院反垄断执法机构</w:t>
      </w:r>
      <w:r>
        <w:rPr>
          <w:rFonts w:hint="eastAsia" w:ascii="仿宋_GB2312" w:hAnsi="仿宋_GB2312" w:eastAsia="仿宋_GB2312" w:cs="仿宋_GB2312"/>
          <w:color w:val="auto"/>
          <w:sz w:val="32"/>
          <w:szCs w:val="32"/>
          <w:lang w:eastAsia="zh-CN"/>
        </w:rPr>
        <w:t>依据</w:t>
      </w:r>
      <w:r>
        <w:rPr>
          <w:rFonts w:hint="eastAsia" w:ascii="仿宋_GB2312" w:hAnsi="仿宋_GB2312" w:eastAsia="仿宋_GB2312" w:cs="仿宋_GB2312"/>
          <w:color w:val="auto"/>
          <w:sz w:val="32"/>
          <w:szCs w:val="32"/>
        </w:rPr>
        <w:t>《反垄断法》第三十四条规定作出决定。对不予禁止的经营者集中，国务院反垄断执法机构可以决定附加</w:t>
      </w:r>
      <w:r>
        <w:rPr>
          <w:rFonts w:hint="eastAsia" w:ascii="仿宋_GB2312" w:hAnsi="仿宋_GB2312" w:eastAsia="仿宋_GB2312" w:cs="仿宋_GB2312"/>
          <w:color w:val="auto"/>
          <w:sz w:val="32"/>
          <w:szCs w:val="32"/>
          <w:lang w:eastAsia="zh-CN"/>
        </w:rPr>
        <w:t>减少集中对竞争产生不利影响</w:t>
      </w:r>
      <w:r>
        <w:rPr>
          <w:rFonts w:hint="eastAsia" w:ascii="仿宋_GB2312" w:hAnsi="仿宋_GB2312" w:eastAsia="仿宋_GB2312" w:cs="仿宋_GB2312"/>
          <w:color w:val="auto"/>
          <w:sz w:val="32"/>
          <w:szCs w:val="32"/>
        </w:rPr>
        <w:t>的限制性条件</w:t>
      </w:r>
      <w:r>
        <w:rPr>
          <w:rFonts w:hint="eastAsia" w:ascii="仿宋_GB2312" w:hAnsi="仿宋_GB2312" w:eastAsia="仿宋_GB2312" w:cs="仿宋_GB2312"/>
          <w:color w:val="auto"/>
          <w:sz w:val="32"/>
          <w:szCs w:val="32"/>
          <w:lang w:eastAsia="zh-CN"/>
        </w:rPr>
        <w:t>。根据经营者集中交易具体情况,限制性条件可以包括如下种类:</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（一）剥离有形资产，知识产权</w:t>
      </w:r>
      <w:r>
        <w:rPr>
          <w:rFonts w:hint="eastAsia" w:ascii="仿宋_GB2312" w:hAnsi="仿宋_GB2312" w:eastAsia="仿宋_GB2312" w:cs="仿宋_GB2312"/>
          <w:color w:val="auto"/>
          <w:sz w:val="32"/>
          <w:szCs w:val="32"/>
          <w:lang w:eastAsia="zh-CN"/>
        </w:rPr>
        <w:t>、数据</w:t>
      </w:r>
      <w:r>
        <w:rPr>
          <w:rFonts w:hint="eastAsia" w:ascii="仿宋_GB2312" w:hAnsi="仿宋_GB2312" w:eastAsia="仿宋_GB2312" w:cs="仿宋_GB2312"/>
          <w:color w:val="auto"/>
          <w:sz w:val="32"/>
          <w:szCs w:val="32"/>
        </w:rPr>
        <w:t>等无形资产或者相关权益（如特定药品业务、</w:t>
      </w:r>
      <w:r>
        <w:rPr>
          <w:rFonts w:hint="eastAsia" w:ascii="仿宋_GB2312" w:hAnsi="仿宋_GB2312" w:eastAsia="仿宋_GB2312" w:cs="仿宋_GB2312"/>
          <w:color w:val="auto"/>
          <w:sz w:val="32"/>
          <w:szCs w:val="32"/>
          <w:lang w:eastAsia="zh"/>
        </w:rPr>
        <w:t>在</w:t>
      </w:r>
      <w:r>
        <w:rPr>
          <w:rFonts w:hint="eastAsia" w:ascii="仿宋_GB2312" w:hAnsi="仿宋_GB2312" w:eastAsia="仿宋_GB2312" w:cs="仿宋_GB2312"/>
          <w:color w:val="auto"/>
          <w:sz w:val="32"/>
          <w:szCs w:val="32"/>
        </w:rPr>
        <w:t>研药品项目、药品研发平台、药品研发数据、药品核心研发团队、药品生产上市许可资质）等结构性条件；</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（二）承诺不终止研发项目、保持研发投入、许可关键技术（包括专利、专有技术或者其他知识产权）、终止排他性或者独占性协议、</w:t>
      </w:r>
      <w:r>
        <w:rPr>
          <w:rFonts w:hint="eastAsia" w:ascii="仿宋_GB2312" w:hAnsi="仿宋_GB2312" w:eastAsia="仿宋_GB2312" w:cs="仿宋_GB2312"/>
          <w:color w:val="auto"/>
          <w:sz w:val="32"/>
          <w:szCs w:val="32"/>
          <w:lang w:eastAsia="zh-CN"/>
        </w:rPr>
        <w:t>保持独立运营、</w:t>
      </w:r>
      <w:r>
        <w:rPr>
          <w:rFonts w:hint="eastAsia" w:ascii="仿宋_GB2312" w:hAnsi="仿宋_GB2312" w:eastAsia="仿宋_GB2312" w:cs="仿宋_GB2312"/>
          <w:color w:val="auto"/>
          <w:sz w:val="32"/>
          <w:szCs w:val="32"/>
        </w:rPr>
        <w:t>开放药品研发平台、共享药品研发数据、保障供应、降低价格等行为性条件；</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（三）结构性条件和行为性条件相结合的综合性条件。</w:t>
      </w:r>
    </w:p>
    <w:p>
      <w:pPr>
        <w:pStyle w:val="4"/>
        <w:snapToGrid/>
        <w:spacing w:before="0" w:after="0" w:line="594" w:lineRule="exact"/>
        <w:ind w:firstLine="640" w:firstLineChars="200"/>
        <w:jc w:val="left"/>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剥离业务一般应当具有在相关市场开展有效竞争所需要的所有要素,包括有形资产、无形资产、股权、关键人员以及客户协议或者供应协议等权益。剥离对象可以是参与集中经营者的子公司、分支机构或者业务部门等。</w:t>
      </w:r>
    </w:p>
    <w:p>
      <w:pPr>
        <w:pStyle w:val="4"/>
        <w:snapToGrid/>
        <w:spacing w:before="0" w:after="0" w:line="594" w:lineRule="exact"/>
        <w:ind w:firstLine="640" w:firstLineChars="200"/>
        <w:jc w:val="left"/>
        <w:rPr>
          <w:rFonts w:ascii="黑体" w:hAnsi="黑体" w:eastAsia="黑体" w:cs="黑体"/>
          <w:b w:val="0"/>
          <w:bCs/>
          <w:color w:val="auto"/>
          <w:sz w:val="32"/>
          <w:szCs w:val="32"/>
        </w:rPr>
      </w:pPr>
      <w:r>
        <w:rPr>
          <w:rFonts w:hint="eastAsia" w:ascii="仿宋_GB2312" w:hAnsi="仿宋_GB2312" w:eastAsia="仿宋_GB2312" w:cs="仿宋_GB2312"/>
          <w:b w:val="0"/>
          <w:bCs/>
          <w:color w:val="auto"/>
          <w:sz w:val="32"/>
          <w:szCs w:val="32"/>
          <w:lang w:eastAsia="zh-CN"/>
        </w:rPr>
        <w:t>通常情况下，前述限制性条件方案首先由参与集中的经营者承诺提出，</w:t>
      </w:r>
      <w:r>
        <w:rPr>
          <w:rFonts w:hint="eastAsia" w:ascii="仿宋_GB2312" w:hAnsi="仿宋_GB2312" w:eastAsia="仿宋_GB2312" w:cs="仿宋_GB2312"/>
          <w:b w:val="0"/>
          <w:bCs/>
          <w:color w:val="auto"/>
          <w:sz w:val="32"/>
          <w:szCs w:val="32"/>
        </w:rPr>
        <w:t>国务院反垄断执法机构</w:t>
      </w:r>
      <w:r>
        <w:rPr>
          <w:rFonts w:hint="eastAsia" w:ascii="仿宋_GB2312" w:hAnsi="仿宋_GB2312" w:eastAsia="仿宋_GB2312" w:cs="仿宋_GB2312"/>
          <w:b w:val="0"/>
          <w:bCs/>
          <w:color w:val="auto"/>
          <w:sz w:val="32"/>
          <w:szCs w:val="32"/>
          <w:lang w:eastAsia="zh-CN"/>
        </w:rPr>
        <w:t>对该方案的有效性、可行性和及时性进行评估后,认为能够有效减少集中对竞争产生的不利影响的，以该承诺方案为基础作出附加限制性条件批准决定。</w:t>
      </w:r>
    </w:p>
    <w:p>
      <w:pPr>
        <w:pStyle w:val="4"/>
        <w:snapToGrid w:val="0"/>
        <w:spacing w:before="0" w:after="0" w:line="594" w:lineRule="exact"/>
        <w:ind w:firstLine="0" w:firstLineChars="0"/>
        <w:jc w:val="both"/>
        <w:rPr>
          <w:rFonts w:ascii="黑体" w:hAnsi="黑体" w:eastAsia="黑体" w:cs="黑体"/>
          <w:b w:val="0"/>
          <w:bCs/>
          <w:color w:val="auto"/>
          <w:sz w:val="32"/>
          <w:szCs w:val="32"/>
        </w:rPr>
      </w:pPr>
      <w:bookmarkStart w:id="122" w:name="_Toc1595421831"/>
      <w:bookmarkStart w:id="123" w:name="_Toc8644"/>
      <w:bookmarkStart w:id="124" w:name="_Toc1232913878"/>
    </w:p>
    <w:p>
      <w:pPr>
        <w:pStyle w:val="4"/>
        <w:snapToGrid w:val="0"/>
        <w:spacing w:before="0" w:after="0" w:line="594" w:lineRule="exact"/>
        <w:ind w:firstLine="0" w:firstLineChars="0"/>
        <w:jc w:val="center"/>
        <w:rPr>
          <w:rFonts w:ascii="黑体" w:hAnsi="黑体" w:eastAsia="黑体" w:cs="黑体"/>
          <w:b w:val="0"/>
          <w:bCs/>
          <w:color w:val="auto"/>
          <w:sz w:val="32"/>
          <w:szCs w:val="32"/>
        </w:rPr>
      </w:pPr>
      <w:r>
        <w:rPr>
          <w:rFonts w:hint="eastAsia" w:ascii="黑体" w:hAnsi="黑体" w:eastAsia="黑体" w:cs="黑体"/>
          <w:b w:val="0"/>
          <w:bCs/>
          <w:color w:val="auto"/>
          <w:sz w:val="32"/>
          <w:szCs w:val="32"/>
        </w:rPr>
        <w:t xml:space="preserve">第五章 </w:t>
      </w:r>
      <w:bookmarkEnd w:id="122"/>
      <w:bookmarkEnd w:id="123"/>
      <w:bookmarkEnd w:id="124"/>
      <w:r>
        <w:rPr>
          <w:rFonts w:hint="eastAsia" w:ascii="黑体" w:hAnsi="黑体" w:eastAsia="黑体" w:cs="黑体"/>
          <w:b w:val="0"/>
          <w:bCs/>
          <w:color w:val="auto"/>
          <w:sz w:val="32"/>
          <w:szCs w:val="32"/>
        </w:rPr>
        <w:t>公平竞争审查和滥用行政权力排除、限制竞争</w:t>
      </w:r>
    </w:p>
    <w:p>
      <w:pPr>
        <w:snapToGrid w:val="0"/>
        <w:spacing w:after="0" w:line="594" w:lineRule="exact"/>
        <w:jc w:val="both"/>
        <w:rPr>
          <w:color w:val="auto"/>
        </w:rPr>
      </w:pPr>
    </w:p>
    <w:p>
      <w:pPr>
        <w:pStyle w:val="4"/>
        <w:snapToGrid w:val="0"/>
        <w:spacing w:before="0" w:after="0" w:line="594" w:lineRule="exact"/>
        <w:ind w:firstLine="640"/>
        <w:jc w:val="both"/>
        <w:rPr>
          <w:rFonts w:ascii="Times New Roman" w:hAnsi="Times New Roman" w:eastAsia="黑体" w:cs="Times New Roman"/>
          <w:b w:val="0"/>
          <w:color w:val="auto"/>
          <w:sz w:val="32"/>
          <w:szCs w:val="32"/>
        </w:rPr>
      </w:pPr>
      <w:bookmarkStart w:id="125" w:name="_Toc1037521314"/>
      <w:bookmarkStart w:id="126" w:name="_Toc16091"/>
      <w:bookmarkStart w:id="127" w:name="_Toc773897175"/>
      <w:r>
        <w:rPr>
          <w:rFonts w:ascii="Times New Roman" w:hAnsi="Times New Roman" w:eastAsia="黑体" w:cs="Times New Roman"/>
          <w:b w:val="0"/>
          <w:color w:val="auto"/>
          <w:sz w:val="32"/>
          <w:szCs w:val="32"/>
        </w:rPr>
        <w:t>第三十</w:t>
      </w:r>
      <w:r>
        <w:rPr>
          <w:rFonts w:hint="eastAsia" w:ascii="Times New Roman" w:hAnsi="Times New Roman" w:eastAsia="黑体" w:cs="Times New Roman"/>
          <w:b w:val="0"/>
          <w:color w:val="auto"/>
          <w:sz w:val="32"/>
          <w:szCs w:val="32"/>
          <w:lang w:eastAsia="zh-CN"/>
        </w:rPr>
        <w:t>七</w:t>
      </w:r>
      <w:r>
        <w:rPr>
          <w:rFonts w:ascii="Times New Roman" w:hAnsi="Times New Roman" w:eastAsia="黑体" w:cs="Times New Roman"/>
          <w:b w:val="0"/>
          <w:color w:val="auto"/>
          <w:sz w:val="32"/>
          <w:szCs w:val="32"/>
        </w:rPr>
        <w:t>条  公平竞争审查</w:t>
      </w:r>
    </w:p>
    <w:p>
      <w:pPr>
        <w:snapToGrid w:val="0"/>
        <w:spacing w:after="0" w:line="594" w:lineRule="exact"/>
        <w:ind w:firstLine="560" w:firstLineChars="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行政机关和法律、法规授权的具有管理公共事务职能的组织</w:t>
      </w:r>
      <w:r>
        <w:rPr>
          <w:rFonts w:hint="default" w:ascii="Times New Roman" w:hAnsi="Times New Roman" w:eastAsia="仿宋_GB2312" w:cs="Times New Roman"/>
          <w:color w:val="auto"/>
          <w:sz w:val="32"/>
          <w:szCs w:val="32"/>
        </w:rPr>
        <w:t>起草</w:t>
      </w:r>
      <w:r>
        <w:rPr>
          <w:rFonts w:ascii="Times New Roman" w:hAnsi="Times New Roman" w:eastAsia="仿宋_GB2312" w:cs="Times New Roman"/>
          <w:color w:val="auto"/>
          <w:sz w:val="32"/>
          <w:szCs w:val="32"/>
        </w:rPr>
        <w:t>涉及药品领域市场主体经济活动的</w:t>
      </w:r>
      <w:bookmarkStart w:id="128" w:name="OLE_LINK31"/>
      <w:r>
        <w:rPr>
          <w:rFonts w:hint="default" w:ascii="Times New Roman" w:hAnsi="Times New Roman" w:eastAsia="仿宋_GB2312" w:cs="Times New Roman"/>
          <w:color w:val="auto"/>
          <w:sz w:val="32"/>
          <w:szCs w:val="32"/>
        </w:rPr>
        <w:t>法律、行政法规、地方性法规、</w:t>
      </w:r>
      <w:bookmarkEnd w:id="128"/>
      <w:r>
        <w:rPr>
          <w:rFonts w:ascii="Times New Roman" w:hAnsi="Times New Roman" w:eastAsia="仿宋_GB2312" w:cs="Times New Roman"/>
          <w:color w:val="auto"/>
          <w:sz w:val="32"/>
          <w:szCs w:val="32"/>
        </w:rPr>
        <w:t>规章、规范性文件以及具体政策措施，应当按照有关规定进行公平竞争审查。</w:t>
      </w:r>
    </w:p>
    <w:p>
      <w:pPr>
        <w:pStyle w:val="4"/>
        <w:snapToGrid w:val="0"/>
        <w:spacing w:before="0" w:after="0" w:line="594" w:lineRule="exact"/>
        <w:ind w:firstLine="640"/>
        <w:jc w:val="both"/>
        <w:rPr>
          <w:rFonts w:ascii="Times New Roman" w:hAnsi="Times New Roman" w:eastAsia="黑体" w:cs="Times New Roman"/>
          <w:b w:val="0"/>
          <w:color w:val="auto"/>
          <w:sz w:val="32"/>
          <w:szCs w:val="32"/>
        </w:rPr>
      </w:pPr>
      <w:r>
        <w:rPr>
          <w:rFonts w:ascii="Times New Roman" w:hAnsi="Times New Roman" w:eastAsia="黑体" w:cs="Times New Roman"/>
          <w:b w:val="0"/>
          <w:color w:val="auto"/>
          <w:sz w:val="32"/>
          <w:szCs w:val="32"/>
        </w:rPr>
        <w:t>第</w:t>
      </w:r>
      <w:r>
        <w:rPr>
          <w:rFonts w:hint="eastAsia" w:ascii="Times New Roman" w:hAnsi="Times New Roman" w:eastAsia="黑体" w:cs="Times New Roman"/>
          <w:b w:val="0"/>
          <w:color w:val="auto"/>
          <w:sz w:val="32"/>
          <w:szCs w:val="32"/>
        </w:rPr>
        <w:t>三十</w:t>
      </w:r>
      <w:r>
        <w:rPr>
          <w:rFonts w:hint="eastAsia" w:ascii="Times New Roman" w:hAnsi="Times New Roman" w:eastAsia="黑体" w:cs="Times New Roman"/>
          <w:b w:val="0"/>
          <w:color w:val="auto"/>
          <w:sz w:val="32"/>
          <w:szCs w:val="32"/>
          <w:lang w:eastAsia="zh-CN"/>
        </w:rPr>
        <w:t>八</w:t>
      </w:r>
      <w:r>
        <w:rPr>
          <w:rFonts w:ascii="Times New Roman" w:hAnsi="Times New Roman" w:eastAsia="黑体" w:cs="Times New Roman"/>
          <w:b w:val="0"/>
          <w:color w:val="auto"/>
          <w:sz w:val="32"/>
          <w:szCs w:val="32"/>
        </w:rPr>
        <w:t>条  限定交易</w:t>
      </w:r>
    </w:p>
    <w:p>
      <w:pPr>
        <w:snapToGrid w:val="0"/>
        <w:spacing w:after="0" w:line="594" w:lineRule="exact"/>
        <w:ind w:firstLine="560" w:firstLineChars="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行政机关和法律、法规授权的具有管理公共事务职能的组织不得滥用行政权力，以明确要求、暗示、拒绝</w:t>
      </w:r>
      <w:r>
        <w:rPr>
          <w:rFonts w:hint="eastAsia" w:ascii="Times New Roman" w:hAnsi="Times New Roman" w:eastAsia="仿宋_GB2312" w:cs="Times New Roman"/>
          <w:color w:val="auto"/>
          <w:sz w:val="32"/>
          <w:szCs w:val="32"/>
        </w:rPr>
        <w:t>或者</w:t>
      </w:r>
      <w:r>
        <w:rPr>
          <w:rFonts w:ascii="Times New Roman" w:hAnsi="Times New Roman" w:eastAsia="仿宋_GB2312" w:cs="Times New Roman"/>
          <w:color w:val="auto"/>
          <w:sz w:val="32"/>
          <w:szCs w:val="32"/>
        </w:rPr>
        <w:t>拖延行政审批、备案、重复检查、不予接入平台</w:t>
      </w:r>
      <w:r>
        <w:rPr>
          <w:rFonts w:hint="eastAsia" w:ascii="Times New Roman" w:hAnsi="Times New Roman" w:eastAsia="仿宋_GB2312" w:cs="Times New Roman"/>
          <w:color w:val="auto"/>
          <w:sz w:val="32"/>
          <w:szCs w:val="32"/>
        </w:rPr>
        <w:t>或者网络</w:t>
      </w:r>
      <w:r>
        <w:rPr>
          <w:rFonts w:ascii="Times New Roman" w:hAnsi="Times New Roman" w:eastAsia="仿宋_GB2312" w:cs="Times New Roman"/>
          <w:color w:val="auto"/>
          <w:sz w:val="32"/>
          <w:szCs w:val="32"/>
        </w:rPr>
        <w:t>，限制投标人所在地、所有制形式、组织形式</w:t>
      </w:r>
      <w:r>
        <w:rPr>
          <w:rFonts w:hint="eastAsia" w:ascii="Times New Roman" w:hAnsi="Times New Roman" w:eastAsia="仿宋_GB2312" w:cs="Times New Roman"/>
          <w:color w:val="auto"/>
          <w:sz w:val="32"/>
          <w:szCs w:val="32"/>
        </w:rPr>
        <w:t>，或者</w:t>
      </w:r>
      <w:r>
        <w:rPr>
          <w:rFonts w:ascii="Times New Roman" w:hAnsi="Times New Roman" w:eastAsia="仿宋_GB2312" w:cs="Times New Roman"/>
          <w:color w:val="auto"/>
          <w:sz w:val="32"/>
          <w:szCs w:val="32"/>
        </w:rPr>
        <w:t>设置不合理的项目库、名录库、备选库、资格库等方式</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限定或者变相限定经营、购买、使用特定经营者提供的药品</w:t>
      </w:r>
      <w:r>
        <w:rPr>
          <w:rFonts w:hint="eastAsia" w:ascii="Times New Roman" w:hAnsi="Times New Roman" w:eastAsia="仿宋_GB2312" w:cs="Times New Roman"/>
          <w:color w:val="auto"/>
          <w:sz w:val="32"/>
          <w:szCs w:val="32"/>
        </w:rPr>
        <w:t>。</w:t>
      </w:r>
    </w:p>
    <w:p>
      <w:pPr>
        <w:snapToGrid w:val="0"/>
        <w:spacing w:after="0" w:line="594" w:lineRule="exact"/>
        <w:ind w:firstLine="560" w:firstLineChars="0"/>
        <w:jc w:val="both"/>
        <w:rPr>
          <w:rFonts w:ascii="Times New Roman" w:hAnsi="Times New Roman" w:eastAsia="黑体" w:cs="Times New Roman"/>
          <w:bCs/>
          <w:color w:val="auto"/>
          <w:sz w:val="32"/>
          <w:szCs w:val="32"/>
        </w:rPr>
      </w:pPr>
      <w:r>
        <w:rPr>
          <w:rFonts w:ascii="Times New Roman" w:hAnsi="Times New Roman" w:eastAsia="黑体" w:cs="Times New Roman"/>
          <w:bCs/>
          <w:color w:val="auto"/>
          <w:sz w:val="32"/>
          <w:szCs w:val="32"/>
        </w:rPr>
        <w:t>第</w:t>
      </w:r>
      <w:r>
        <w:rPr>
          <w:rFonts w:hint="eastAsia" w:ascii="Times New Roman" w:hAnsi="Times New Roman" w:eastAsia="黑体" w:cs="Times New Roman"/>
          <w:bCs/>
          <w:color w:val="auto"/>
          <w:sz w:val="32"/>
          <w:szCs w:val="32"/>
          <w:lang w:eastAsia="zh-CN"/>
        </w:rPr>
        <w:t>三十九</w:t>
      </w:r>
      <w:r>
        <w:rPr>
          <w:rFonts w:ascii="Times New Roman" w:hAnsi="Times New Roman" w:eastAsia="黑体" w:cs="Times New Roman"/>
          <w:bCs/>
          <w:color w:val="auto"/>
          <w:sz w:val="32"/>
          <w:szCs w:val="32"/>
        </w:rPr>
        <w:t>条  通过签订合作协议或</w:t>
      </w:r>
      <w:r>
        <w:rPr>
          <w:rFonts w:hint="eastAsia" w:ascii="Times New Roman" w:hAnsi="Times New Roman" w:eastAsia="黑体" w:cs="Times New Roman"/>
          <w:bCs/>
          <w:color w:val="auto"/>
          <w:sz w:val="32"/>
          <w:szCs w:val="32"/>
          <w:lang w:eastAsia="zh-CN"/>
        </w:rPr>
        <w:t>者</w:t>
      </w:r>
      <w:r>
        <w:rPr>
          <w:rFonts w:ascii="Times New Roman" w:hAnsi="Times New Roman" w:eastAsia="黑体" w:cs="Times New Roman"/>
          <w:bCs/>
          <w:color w:val="auto"/>
          <w:sz w:val="32"/>
          <w:szCs w:val="32"/>
        </w:rPr>
        <w:t>备忘录等方式妨碍药品经营者进入相关市场</w:t>
      </w:r>
      <w:r>
        <w:rPr>
          <w:rFonts w:hint="eastAsia" w:ascii="Times New Roman" w:hAnsi="Times New Roman" w:eastAsia="黑体" w:cs="Times New Roman"/>
          <w:bCs/>
          <w:color w:val="auto"/>
          <w:sz w:val="32"/>
          <w:szCs w:val="32"/>
          <w:lang w:eastAsia="zh-CN"/>
        </w:rPr>
        <w:t>等</w:t>
      </w:r>
    </w:p>
    <w:p>
      <w:pPr>
        <w:snapToGrid w:val="0"/>
        <w:spacing w:after="0" w:line="594" w:lineRule="exact"/>
        <w:ind w:firstLine="560" w:firstLineChars="0"/>
        <w:jc w:val="both"/>
        <w:rPr>
          <w:rFonts w:ascii="Times New Roman" w:hAnsi="Times New Roman" w:eastAsia="仿宋_GB2312" w:cs="Times New Roman"/>
          <w:bCs/>
          <w:color w:val="auto"/>
          <w:sz w:val="32"/>
          <w:szCs w:val="32"/>
        </w:rPr>
      </w:pPr>
      <w:r>
        <w:rPr>
          <w:rFonts w:ascii="Times New Roman" w:hAnsi="Times New Roman" w:eastAsia="仿宋_GB2312" w:cs="Times New Roman"/>
          <w:bCs/>
          <w:color w:val="auto"/>
          <w:sz w:val="32"/>
          <w:szCs w:val="32"/>
        </w:rPr>
        <w:t>行政机关和法律、法规授权的具有管理公共事务职能的组织不得滥用行政权力，通过与经营者签订合作协议、备忘录等方式，妨碍其他药品经营者进入相关市场或者对其他药品经营者实行不平等待遇，排除、限制竞争。</w:t>
      </w:r>
    </w:p>
    <w:p>
      <w:pPr>
        <w:snapToGrid w:val="0"/>
        <w:spacing w:after="0" w:line="594" w:lineRule="exact"/>
        <w:ind w:firstLine="560" w:firstLineChars="0"/>
        <w:jc w:val="both"/>
        <w:rPr>
          <w:rFonts w:ascii="Times New Roman" w:hAnsi="Times New Roman" w:eastAsia="黑体" w:cs="Times New Roman"/>
          <w:bCs/>
          <w:color w:val="auto"/>
          <w:sz w:val="32"/>
          <w:szCs w:val="32"/>
        </w:rPr>
      </w:pPr>
      <w:r>
        <w:rPr>
          <w:rFonts w:ascii="Times New Roman" w:hAnsi="Times New Roman" w:eastAsia="黑体" w:cs="Times New Roman"/>
          <w:bCs/>
          <w:color w:val="auto"/>
          <w:sz w:val="32"/>
          <w:szCs w:val="32"/>
        </w:rPr>
        <w:t>第</w:t>
      </w:r>
      <w:r>
        <w:rPr>
          <w:rFonts w:ascii="Times New Roman" w:hAnsi="Times New Roman" w:eastAsia="黑体" w:cs="Times New Roman"/>
          <w:bCs/>
          <w:color w:val="auto"/>
          <w:sz w:val="32"/>
          <w:szCs w:val="32"/>
          <w:lang w:eastAsia="zh"/>
        </w:rPr>
        <w:t>四十</w:t>
      </w:r>
      <w:r>
        <w:rPr>
          <w:rFonts w:ascii="Times New Roman" w:hAnsi="Times New Roman" w:eastAsia="黑体" w:cs="Times New Roman"/>
          <w:bCs/>
          <w:color w:val="auto"/>
          <w:sz w:val="32"/>
          <w:szCs w:val="32"/>
        </w:rPr>
        <w:t>条  妨碍药品在地区之间自由流通</w:t>
      </w:r>
    </w:p>
    <w:p>
      <w:pPr>
        <w:snapToGrid w:val="0"/>
        <w:spacing w:after="0" w:line="594" w:lineRule="exact"/>
        <w:ind w:firstLine="560" w:firstLineChars="0"/>
        <w:jc w:val="both"/>
        <w:rPr>
          <w:rFonts w:ascii="Times New Roman" w:hAnsi="Times New Roman" w:eastAsia="仿宋_GB2312" w:cs="Times New Roman"/>
          <w:bCs/>
          <w:color w:val="auto"/>
          <w:sz w:val="32"/>
          <w:szCs w:val="32"/>
        </w:rPr>
      </w:pPr>
      <w:r>
        <w:rPr>
          <w:rFonts w:ascii="Times New Roman" w:hAnsi="Times New Roman" w:eastAsia="仿宋_GB2312" w:cs="Times New Roman"/>
          <w:bCs/>
          <w:color w:val="auto"/>
          <w:sz w:val="32"/>
          <w:szCs w:val="32"/>
        </w:rPr>
        <w:t>行政机关和法律、法规授权的具有管理公共事务职能的组织不得滥用行政权力，对外地药品设定歧视性收费项目、收费标准、价格，采取歧视性技术措施，或者采用专门针对外地药品的行政许可阻碍外地药品进入本地市场，设置关卡</w:t>
      </w:r>
      <w:r>
        <w:rPr>
          <w:rFonts w:hint="eastAsia" w:ascii="Times New Roman" w:hAnsi="Times New Roman" w:eastAsia="仿宋_GB2312" w:cs="Times New Roman"/>
          <w:bCs/>
          <w:color w:val="auto"/>
          <w:sz w:val="32"/>
          <w:szCs w:val="32"/>
        </w:rPr>
        <w:t>或者</w:t>
      </w:r>
      <w:r>
        <w:rPr>
          <w:rFonts w:ascii="Times New Roman" w:hAnsi="Times New Roman" w:eastAsia="仿宋_GB2312" w:cs="Times New Roman"/>
          <w:bCs/>
          <w:color w:val="auto"/>
          <w:sz w:val="32"/>
          <w:szCs w:val="32"/>
        </w:rPr>
        <w:t>网络屏蔽等手段，阻碍外地药品进入或者本地药品运出，妨碍药品在地区之间自由流通。</w:t>
      </w:r>
    </w:p>
    <w:p>
      <w:pPr>
        <w:snapToGrid w:val="0"/>
        <w:spacing w:after="0" w:line="594" w:lineRule="exact"/>
        <w:ind w:firstLine="560" w:firstLineChars="0"/>
        <w:jc w:val="both"/>
        <w:rPr>
          <w:rFonts w:ascii="Times New Roman" w:hAnsi="Times New Roman" w:eastAsia="黑体" w:cs="Times New Roman"/>
          <w:bCs/>
          <w:color w:val="auto"/>
          <w:sz w:val="32"/>
          <w:szCs w:val="32"/>
        </w:rPr>
      </w:pPr>
      <w:r>
        <w:rPr>
          <w:rFonts w:ascii="Times New Roman" w:hAnsi="Times New Roman" w:eastAsia="黑体" w:cs="Times New Roman"/>
          <w:bCs/>
          <w:color w:val="auto"/>
          <w:sz w:val="32"/>
          <w:szCs w:val="32"/>
        </w:rPr>
        <w:t>第</w:t>
      </w:r>
      <w:r>
        <w:rPr>
          <w:rFonts w:ascii="Times New Roman" w:hAnsi="Times New Roman" w:eastAsia="黑体" w:cs="Times New Roman"/>
          <w:bCs/>
          <w:color w:val="auto"/>
          <w:sz w:val="32"/>
          <w:szCs w:val="32"/>
          <w:lang w:eastAsia="zh"/>
        </w:rPr>
        <w:t>四十</w:t>
      </w:r>
      <w:r>
        <w:rPr>
          <w:rFonts w:hint="eastAsia" w:ascii="Times New Roman" w:hAnsi="Times New Roman" w:eastAsia="黑体" w:cs="Times New Roman"/>
          <w:bCs/>
          <w:color w:val="auto"/>
          <w:sz w:val="32"/>
          <w:szCs w:val="32"/>
          <w:lang w:eastAsia="zh-CN"/>
        </w:rPr>
        <w:t>一</w:t>
      </w:r>
      <w:r>
        <w:rPr>
          <w:rFonts w:ascii="Times New Roman" w:hAnsi="Times New Roman" w:eastAsia="黑体" w:cs="Times New Roman"/>
          <w:bCs/>
          <w:color w:val="auto"/>
          <w:sz w:val="32"/>
          <w:szCs w:val="32"/>
        </w:rPr>
        <w:t>条  排斥或者限制药品经营者参加招投标等经营活动</w:t>
      </w:r>
    </w:p>
    <w:p>
      <w:pPr>
        <w:snapToGrid w:val="0"/>
        <w:spacing w:after="0" w:line="594" w:lineRule="exact"/>
        <w:ind w:firstLine="560" w:firstLineChars="0"/>
        <w:jc w:val="both"/>
        <w:rPr>
          <w:rFonts w:ascii="Times New Roman" w:hAnsi="Times New Roman" w:eastAsia="仿宋_GB2312" w:cs="Times New Roman"/>
          <w:bCs/>
          <w:color w:val="auto"/>
          <w:sz w:val="32"/>
          <w:szCs w:val="32"/>
        </w:rPr>
      </w:pPr>
      <w:r>
        <w:rPr>
          <w:rFonts w:ascii="Times New Roman" w:hAnsi="Times New Roman" w:eastAsia="仿宋_GB2312" w:cs="Times New Roman"/>
          <w:bCs/>
          <w:color w:val="auto"/>
          <w:sz w:val="32"/>
          <w:szCs w:val="32"/>
        </w:rPr>
        <w:t>行政机关和法律、法规授权的具有管理公共事务职能的组织不得滥用行政权力，通过不依法发布信息、设定歧视性资质要求、评审标准，或者设定与实际需要不相适应、与合同履行无关的资格、技术和商务条件等方式，排斥或者限制药品经营者参加招标投标以及其他经营活动。</w:t>
      </w:r>
    </w:p>
    <w:p>
      <w:pPr>
        <w:pStyle w:val="4"/>
        <w:snapToGrid w:val="0"/>
        <w:spacing w:before="0" w:after="0" w:line="594" w:lineRule="exact"/>
        <w:ind w:firstLine="640"/>
        <w:jc w:val="both"/>
        <w:rPr>
          <w:rFonts w:ascii="Times New Roman" w:hAnsi="Times New Roman" w:eastAsia="黑体" w:cs="Times New Roman"/>
          <w:b w:val="0"/>
          <w:color w:val="auto"/>
          <w:sz w:val="32"/>
          <w:szCs w:val="32"/>
        </w:rPr>
      </w:pPr>
      <w:r>
        <w:rPr>
          <w:rFonts w:ascii="Times New Roman" w:hAnsi="Times New Roman" w:eastAsia="黑体" w:cs="Times New Roman"/>
          <w:b w:val="0"/>
          <w:color w:val="auto"/>
          <w:sz w:val="32"/>
          <w:szCs w:val="32"/>
        </w:rPr>
        <w:t>第</w:t>
      </w:r>
      <w:r>
        <w:rPr>
          <w:rFonts w:ascii="Times New Roman" w:hAnsi="Times New Roman" w:eastAsia="黑体" w:cs="Times New Roman"/>
          <w:b w:val="0"/>
          <w:color w:val="auto"/>
          <w:sz w:val="32"/>
          <w:szCs w:val="32"/>
          <w:lang w:eastAsia="zh"/>
        </w:rPr>
        <w:t>四十</w:t>
      </w:r>
      <w:r>
        <w:rPr>
          <w:rFonts w:hint="eastAsia" w:ascii="Times New Roman" w:hAnsi="Times New Roman" w:eastAsia="黑体" w:cs="Times New Roman"/>
          <w:b w:val="0"/>
          <w:color w:val="auto"/>
          <w:sz w:val="32"/>
          <w:szCs w:val="32"/>
          <w:lang w:eastAsia="zh-CN"/>
        </w:rPr>
        <w:t>二</w:t>
      </w:r>
      <w:r>
        <w:rPr>
          <w:rFonts w:ascii="Times New Roman" w:hAnsi="Times New Roman" w:eastAsia="黑体" w:cs="Times New Roman"/>
          <w:b w:val="0"/>
          <w:color w:val="auto"/>
          <w:sz w:val="32"/>
          <w:szCs w:val="32"/>
        </w:rPr>
        <w:t>条  排斥、限制</w:t>
      </w:r>
      <w:r>
        <w:rPr>
          <w:rFonts w:hint="eastAsia" w:ascii="Times New Roman" w:hAnsi="Times New Roman" w:eastAsia="黑体" w:cs="Times New Roman"/>
          <w:b w:val="0"/>
          <w:color w:val="auto"/>
          <w:sz w:val="32"/>
          <w:szCs w:val="32"/>
        </w:rPr>
        <w:t>、强制</w:t>
      </w:r>
      <w:r>
        <w:rPr>
          <w:rFonts w:ascii="Times New Roman" w:hAnsi="Times New Roman" w:eastAsia="黑体" w:cs="Times New Roman"/>
          <w:b w:val="0"/>
          <w:color w:val="auto"/>
          <w:sz w:val="32"/>
          <w:szCs w:val="32"/>
        </w:rPr>
        <w:t>或者</w:t>
      </w:r>
      <w:r>
        <w:rPr>
          <w:rFonts w:hint="eastAsia" w:ascii="Times New Roman" w:hAnsi="Times New Roman" w:eastAsia="黑体" w:cs="Times New Roman"/>
          <w:b w:val="0"/>
          <w:color w:val="auto"/>
          <w:sz w:val="32"/>
          <w:szCs w:val="32"/>
        </w:rPr>
        <w:t>变相</w:t>
      </w:r>
      <w:r>
        <w:rPr>
          <w:rFonts w:ascii="Times New Roman" w:hAnsi="Times New Roman" w:eastAsia="黑体" w:cs="Times New Roman"/>
          <w:b w:val="0"/>
          <w:color w:val="auto"/>
          <w:sz w:val="32"/>
          <w:szCs w:val="32"/>
        </w:rPr>
        <w:t>强制外地药品经营者</w:t>
      </w:r>
      <w:r>
        <w:rPr>
          <w:rFonts w:hint="eastAsia" w:ascii="Times New Roman" w:hAnsi="Times New Roman" w:eastAsia="黑体" w:cs="Times New Roman"/>
          <w:b w:val="0"/>
          <w:color w:val="auto"/>
          <w:sz w:val="32"/>
          <w:szCs w:val="32"/>
        </w:rPr>
        <w:t>在本地</w:t>
      </w:r>
      <w:r>
        <w:rPr>
          <w:rFonts w:ascii="Times New Roman" w:hAnsi="Times New Roman" w:eastAsia="黑体" w:cs="Times New Roman"/>
          <w:b w:val="0"/>
          <w:color w:val="auto"/>
          <w:sz w:val="32"/>
          <w:szCs w:val="32"/>
        </w:rPr>
        <w:t>投资或者设立分支机构</w:t>
      </w:r>
    </w:p>
    <w:p>
      <w:pPr>
        <w:snapToGrid w:val="0"/>
        <w:spacing w:after="0" w:line="594" w:lineRule="exact"/>
        <w:ind w:firstLine="560" w:firstLineChars="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行政机关和法律、法规授权的具有管理公共事务职能的组织不得滥用行政权力，采取与本地药品经营者不平等待遇等方式，排斥、限制、强制或者变相强制外地药品经营者在本地投资或者设立分支机构。</w:t>
      </w:r>
    </w:p>
    <w:p>
      <w:pPr>
        <w:pStyle w:val="4"/>
        <w:snapToGrid w:val="0"/>
        <w:spacing w:before="0" w:after="0" w:line="594" w:lineRule="exact"/>
        <w:ind w:firstLine="640"/>
        <w:jc w:val="both"/>
        <w:rPr>
          <w:rFonts w:ascii="Times New Roman" w:hAnsi="Times New Roman" w:eastAsia="黑体" w:cs="Times New Roman"/>
          <w:b w:val="0"/>
          <w:color w:val="auto"/>
          <w:sz w:val="32"/>
          <w:szCs w:val="32"/>
        </w:rPr>
      </w:pPr>
      <w:r>
        <w:rPr>
          <w:rFonts w:ascii="Times New Roman" w:hAnsi="Times New Roman" w:eastAsia="黑体" w:cs="Times New Roman"/>
          <w:b w:val="0"/>
          <w:color w:val="auto"/>
          <w:sz w:val="32"/>
          <w:szCs w:val="32"/>
        </w:rPr>
        <w:t>第四十</w:t>
      </w:r>
      <w:r>
        <w:rPr>
          <w:rFonts w:hint="eastAsia" w:ascii="Times New Roman" w:hAnsi="Times New Roman" w:eastAsia="黑体" w:cs="Times New Roman"/>
          <w:b w:val="0"/>
          <w:color w:val="auto"/>
          <w:sz w:val="32"/>
          <w:szCs w:val="32"/>
          <w:lang w:eastAsia="zh-CN"/>
        </w:rPr>
        <w:t>三</w:t>
      </w:r>
      <w:r>
        <w:rPr>
          <w:rFonts w:ascii="Times New Roman" w:hAnsi="Times New Roman" w:eastAsia="黑体" w:cs="Times New Roman"/>
          <w:b w:val="0"/>
          <w:color w:val="auto"/>
          <w:sz w:val="32"/>
          <w:szCs w:val="32"/>
        </w:rPr>
        <w:t>条  强制或者变相强制药品经营者从事反垄断法规定的垄断行为</w:t>
      </w:r>
    </w:p>
    <w:p>
      <w:pPr>
        <w:snapToGrid w:val="0"/>
        <w:spacing w:after="0" w:line="594" w:lineRule="exact"/>
        <w:ind w:firstLine="560" w:firstLineChars="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行政机关和法律、法规授权的具有管理公共事务职能的组织不得滥用行政权力，强制或者变相强制药品经营者从事反垄断法规定的垄断行为。</w:t>
      </w:r>
    </w:p>
    <w:p>
      <w:pPr>
        <w:snapToGrid w:val="0"/>
        <w:spacing w:after="0" w:line="594" w:lineRule="exact"/>
        <w:ind w:firstLine="560" w:firstLineChars="0"/>
        <w:jc w:val="both"/>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第四十</w:t>
      </w:r>
      <w:r>
        <w:rPr>
          <w:rFonts w:hint="eastAsia" w:ascii="Times New Roman" w:hAnsi="Times New Roman" w:eastAsia="黑体" w:cs="Times New Roman"/>
          <w:color w:val="auto"/>
          <w:sz w:val="32"/>
          <w:szCs w:val="32"/>
          <w:lang w:eastAsia="zh-CN"/>
        </w:rPr>
        <w:t>四</w:t>
      </w:r>
      <w:r>
        <w:rPr>
          <w:rFonts w:ascii="Times New Roman" w:hAnsi="Times New Roman" w:eastAsia="黑体" w:cs="Times New Roman"/>
          <w:color w:val="auto"/>
          <w:sz w:val="32"/>
          <w:szCs w:val="32"/>
        </w:rPr>
        <w:t>条  制定含有排除、限制竞争内容的规定</w:t>
      </w:r>
    </w:p>
    <w:p>
      <w:pPr>
        <w:snapToGrid w:val="0"/>
        <w:spacing w:after="0" w:line="594" w:lineRule="exact"/>
        <w:ind w:firstLine="560" w:firstLineChars="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行政机关和法律、法规授权的具有管理公共事务职能的组织不得滥用行政权力，</w:t>
      </w:r>
      <w:bookmarkStart w:id="129" w:name="_Hlk162507387"/>
      <w:r>
        <w:rPr>
          <w:rFonts w:ascii="Times New Roman" w:hAnsi="Times New Roman" w:eastAsia="仿宋_GB2312" w:cs="Times New Roman"/>
          <w:color w:val="auto"/>
          <w:sz w:val="32"/>
          <w:szCs w:val="32"/>
        </w:rPr>
        <w:t>以办法、决定、公告、通知、意见、会议纪要、函件等形式，</w:t>
      </w:r>
      <w:bookmarkEnd w:id="129"/>
      <w:r>
        <w:rPr>
          <w:rFonts w:ascii="Times New Roman" w:hAnsi="Times New Roman" w:eastAsia="仿宋_GB2312" w:cs="Times New Roman"/>
          <w:color w:val="auto"/>
          <w:sz w:val="32"/>
          <w:szCs w:val="32"/>
        </w:rPr>
        <w:t>制定、发布含有排除、限制药品市场竞争内容的规定。</w:t>
      </w:r>
    </w:p>
    <w:p>
      <w:pPr>
        <w:snapToGrid w:val="0"/>
        <w:spacing w:after="0" w:line="594" w:lineRule="exact"/>
        <w:ind w:firstLine="560" w:firstLineChars="0"/>
        <w:jc w:val="both"/>
        <w:rPr>
          <w:rFonts w:ascii="Times New Roman" w:hAnsi="Times New Roman" w:eastAsia="仿宋_GB2312" w:cs="Times New Roman"/>
          <w:color w:val="auto"/>
          <w:sz w:val="32"/>
          <w:szCs w:val="32"/>
        </w:rPr>
      </w:pPr>
    </w:p>
    <w:bookmarkEnd w:id="125"/>
    <w:bookmarkEnd w:id="126"/>
    <w:bookmarkEnd w:id="127"/>
    <w:p>
      <w:pPr>
        <w:pStyle w:val="4"/>
        <w:snapToGrid w:val="0"/>
        <w:spacing w:before="0" w:after="0" w:line="594" w:lineRule="exact"/>
        <w:ind w:firstLine="0" w:firstLineChars="0"/>
        <w:jc w:val="center"/>
        <w:rPr>
          <w:rFonts w:ascii="黑体" w:hAnsi="黑体" w:eastAsia="黑体" w:cs="黑体"/>
          <w:b w:val="0"/>
          <w:bCs/>
          <w:color w:val="auto"/>
          <w:sz w:val="32"/>
          <w:szCs w:val="32"/>
        </w:rPr>
      </w:pPr>
      <w:bookmarkStart w:id="130" w:name="_Toc331633444"/>
      <w:bookmarkStart w:id="131" w:name="_Toc13136"/>
      <w:bookmarkStart w:id="132" w:name="_Toc159414511"/>
      <w:bookmarkStart w:id="133" w:name="_Toc2130602161"/>
      <w:bookmarkStart w:id="134" w:name="_Toc30186"/>
      <w:bookmarkStart w:id="135" w:name="_Toc770965547"/>
      <w:r>
        <w:rPr>
          <w:rFonts w:hint="eastAsia" w:ascii="黑体" w:hAnsi="黑体" w:eastAsia="黑体" w:cs="黑体"/>
          <w:b w:val="0"/>
          <w:bCs/>
          <w:color w:val="auto"/>
          <w:sz w:val="32"/>
          <w:szCs w:val="32"/>
        </w:rPr>
        <w:t xml:space="preserve">第六章 </w:t>
      </w:r>
      <w:bookmarkEnd w:id="130"/>
      <w:bookmarkEnd w:id="131"/>
      <w:bookmarkEnd w:id="132"/>
      <w:bookmarkEnd w:id="133"/>
      <w:bookmarkEnd w:id="134"/>
      <w:bookmarkEnd w:id="135"/>
      <w:r>
        <w:rPr>
          <w:rFonts w:hint="eastAsia" w:ascii="黑体" w:hAnsi="黑体" w:eastAsia="黑体" w:cs="黑体"/>
          <w:b w:val="0"/>
          <w:bCs/>
          <w:color w:val="auto"/>
          <w:sz w:val="32"/>
          <w:szCs w:val="32"/>
        </w:rPr>
        <w:t>法律责任的适用</w:t>
      </w:r>
    </w:p>
    <w:p>
      <w:pPr>
        <w:pStyle w:val="4"/>
        <w:snapToGrid w:val="0"/>
        <w:spacing w:before="0" w:after="0" w:line="594" w:lineRule="exact"/>
        <w:ind w:firstLine="640"/>
        <w:jc w:val="both"/>
        <w:rPr>
          <w:rFonts w:hint="eastAsia" w:ascii="黑体" w:hAnsi="黑体" w:eastAsia="黑体" w:cs="黑体"/>
          <w:b w:val="0"/>
          <w:bCs/>
          <w:color w:val="auto"/>
          <w:sz w:val="32"/>
          <w:szCs w:val="32"/>
        </w:rPr>
      </w:pPr>
      <w:bookmarkStart w:id="136" w:name="_Toc19593"/>
      <w:bookmarkStart w:id="137" w:name="_Toc878180623"/>
      <w:bookmarkStart w:id="138" w:name="_Toc1608860900"/>
      <w:bookmarkStart w:id="139" w:name="_Toc1158546923"/>
      <w:bookmarkStart w:id="140" w:name="_Toc2074108577"/>
      <w:bookmarkStart w:id="141" w:name="_Toc8855"/>
      <w:bookmarkStart w:id="142" w:name="_Toc159414504"/>
      <w:bookmarkStart w:id="143" w:name="_Toc929784256"/>
      <w:bookmarkStart w:id="144" w:name="_Toc159414508"/>
      <w:bookmarkStart w:id="145" w:name="_Toc997737382"/>
      <w:bookmarkStart w:id="146" w:name="_Toc157746081"/>
      <w:bookmarkStart w:id="147" w:name="_Toc701688684"/>
      <w:bookmarkStart w:id="148" w:name="_Toc10794"/>
    </w:p>
    <w:p>
      <w:pPr>
        <w:pStyle w:val="4"/>
        <w:snapToGrid w:val="0"/>
        <w:spacing w:before="0" w:after="0" w:line="594" w:lineRule="exact"/>
        <w:ind w:firstLine="640"/>
        <w:jc w:val="both"/>
        <w:rPr>
          <w:rFonts w:ascii="黑体" w:hAnsi="黑体" w:eastAsia="黑体" w:cs="黑体"/>
          <w:b w:val="0"/>
          <w:bCs/>
          <w:color w:val="auto"/>
          <w:sz w:val="32"/>
          <w:szCs w:val="32"/>
        </w:rPr>
      </w:pPr>
      <w:r>
        <w:rPr>
          <w:rFonts w:hint="eastAsia" w:ascii="黑体" w:hAnsi="黑体" w:eastAsia="黑体" w:cs="黑体"/>
          <w:b w:val="0"/>
          <w:bCs/>
          <w:color w:val="auto"/>
          <w:sz w:val="32"/>
          <w:szCs w:val="32"/>
        </w:rPr>
        <w:t>第四十</w:t>
      </w:r>
      <w:r>
        <w:rPr>
          <w:rFonts w:hint="eastAsia" w:ascii="黑体" w:hAnsi="黑体" w:eastAsia="黑体" w:cs="黑体"/>
          <w:b w:val="0"/>
          <w:bCs/>
          <w:color w:val="auto"/>
          <w:sz w:val="32"/>
          <w:szCs w:val="32"/>
          <w:lang w:eastAsia="zh-CN"/>
        </w:rPr>
        <w:t>五</w:t>
      </w:r>
      <w:r>
        <w:rPr>
          <w:rFonts w:hint="eastAsia" w:ascii="黑体" w:hAnsi="黑体" w:eastAsia="黑体" w:cs="黑体"/>
          <w:b w:val="0"/>
          <w:bCs/>
          <w:color w:val="auto"/>
          <w:sz w:val="32"/>
          <w:szCs w:val="32"/>
        </w:rPr>
        <w:t>条  法律责任适用依据</w:t>
      </w:r>
    </w:p>
    <w:p>
      <w:pPr>
        <w:pStyle w:val="4"/>
        <w:snapToGrid w:val="0"/>
        <w:spacing w:before="0" w:after="0" w:line="594" w:lineRule="exact"/>
        <w:ind w:firstLine="640"/>
        <w:jc w:val="both"/>
        <w:rPr>
          <w:rFonts w:ascii="仿宋_GB2312" w:hAnsi="仿宋_GB2312" w:eastAsia="仿宋_GB2312" w:cs="仿宋_GB2312"/>
          <w:b w:val="0"/>
          <w:color w:val="auto"/>
          <w:sz w:val="32"/>
          <w:szCs w:val="32"/>
        </w:rPr>
      </w:pPr>
      <w:r>
        <w:rPr>
          <w:rFonts w:hint="eastAsia" w:ascii="仿宋_GB2312" w:hAnsi="仿宋_GB2312" w:eastAsia="仿宋_GB2312" w:cs="仿宋_GB2312"/>
          <w:b w:val="0"/>
          <w:color w:val="auto"/>
          <w:sz w:val="32"/>
          <w:szCs w:val="32"/>
        </w:rPr>
        <w:t>药品领域经营者</w:t>
      </w:r>
      <w:r>
        <w:rPr>
          <w:rFonts w:hint="eastAsia" w:ascii="仿宋_GB2312" w:hAnsi="仿宋_GB2312" w:eastAsia="仿宋_GB2312" w:cs="仿宋_GB2312"/>
          <w:b w:val="0"/>
          <w:bCs w:val="0"/>
          <w:color w:val="auto"/>
          <w:sz w:val="32"/>
          <w:szCs w:val="32"/>
        </w:rPr>
        <w:t>及相关个人</w:t>
      </w:r>
      <w:r>
        <w:rPr>
          <w:rFonts w:hint="eastAsia" w:ascii="仿宋_GB2312" w:hAnsi="仿宋_GB2312" w:eastAsia="仿宋_GB2312" w:cs="仿宋_GB2312"/>
          <w:b w:val="0"/>
          <w:color w:val="auto"/>
          <w:sz w:val="32"/>
          <w:szCs w:val="32"/>
        </w:rPr>
        <w:t>违反《反垄断法》的，反垄断执法机构依据《反垄断法》第七章予以处罚</w:t>
      </w:r>
      <w:r>
        <w:rPr>
          <w:rFonts w:hint="eastAsia" w:ascii="仿宋_GB2312" w:hAnsi="仿宋_GB2312" w:eastAsia="仿宋_GB2312" w:cs="仿宋_GB2312"/>
          <w:b w:val="0"/>
          <w:bCs w:val="0"/>
          <w:color w:val="auto"/>
          <w:sz w:val="32"/>
          <w:szCs w:val="32"/>
        </w:rPr>
        <w:t>，构成犯罪的，依法追究刑事责任</w:t>
      </w:r>
      <w:r>
        <w:rPr>
          <w:rFonts w:hint="eastAsia" w:ascii="仿宋_GB2312" w:hAnsi="仿宋_GB2312" w:eastAsia="仿宋_GB2312" w:cs="仿宋_GB2312"/>
          <w:b w:val="0"/>
          <w:color w:val="auto"/>
          <w:sz w:val="32"/>
          <w:szCs w:val="32"/>
        </w:rPr>
        <w:t>。</w:t>
      </w:r>
    </w:p>
    <w:p>
      <w:pPr>
        <w:pStyle w:val="4"/>
        <w:snapToGrid w:val="0"/>
        <w:spacing w:before="0" w:after="0" w:line="594" w:lineRule="exact"/>
        <w:ind w:firstLine="640"/>
        <w:jc w:val="both"/>
        <w:rPr>
          <w:rFonts w:hint="eastAsia" w:ascii="仿宋_GB2312" w:hAnsi="仿宋_GB2312" w:eastAsia="仿宋_GB2312" w:cs="仿宋_GB2312"/>
          <w:b w:val="0"/>
          <w:color w:val="auto"/>
          <w:sz w:val="32"/>
          <w:szCs w:val="32"/>
        </w:rPr>
      </w:pPr>
      <w:r>
        <w:rPr>
          <w:rFonts w:hint="eastAsia" w:ascii="仿宋_GB2312" w:hAnsi="仿宋_GB2312" w:eastAsia="仿宋_GB2312" w:cs="仿宋_GB2312"/>
          <w:b w:val="0"/>
          <w:bCs w:val="0"/>
          <w:color w:val="auto"/>
          <w:sz w:val="32"/>
          <w:szCs w:val="32"/>
        </w:rPr>
        <w:t>反垄断执法机构调查和处理药品领域违反《反垄断法》的行为时，可以酌情考虑经营者反垄断合规管理制度的建设和实施情况。</w:t>
      </w:r>
    </w:p>
    <w:p>
      <w:pPr>
        <w:pStyle w:val="4"/>
        <w:snapToGrid w:val="0"/>
        <w:spacing w:before="0" w:after="0" w:line="594" w:lineRule="exact"/>
        <w:ind w:firstLine="640"/>
        <w:jc w:val="both"/>
        <w:rPr>
          <w:rFonts w:ascii="黑体" w:hAnsi="黑体" w:eastAsia="黑体" w:cs="黑体"/>
          <w:b w:val="0"/>
          <w:bCs/>
          <w:color w:val="auto"/>
          <w:sz w:val="32"/>
          <w:szCs w:val="32"/>
        </w:rPr>
      </w:pPr>
      <w:r>
        <w:rPr>
          <w:rFonts w:hint="eastAsia" w:ascii="黑体" w:hAnsi="黑体" w:eastAsia="黑体" w:cs="黑体"/>
          <w:b w:val="0"/>
          <w:bCs/>
          <w:color w:val="auto"/>
          <w:sz w:val="32"/>
          <w:szCs w:val="32"/>
        </w:rPr>
        <w:t>第四十</w:t>
      </w:r>
      <w:r>
        <w:rPr>
          <w:rFonts w:hint="eastAsia" w:ascii="黑体" w:hAnsi="黑体" w:eastAsia="黑体" w:cs="黑体"/>
          <w:b w:val="0"/>
          <w:bCs/>
          <w:color w:val="auto"/>
          <w:sz w:val="32"/>
          <w:szCs w:val="32"/>
          <w:lang w:eastAsia="zh-CN"/>
        </w:rPr>
        <w:t>六</w:t>
      </w:r>
      <w:r>
        <w:rPr>
          <w:rFonts w:hint="eastAsia" w:ascii="黑体" w:hAnsi="黑体" w:eastAsia="黑体" w:cs="黑体"/>
          <w:b w:val="0"/>
          <w:bCs/>
          <w:color w:val="auto"/>
          <w:sz w:val="32"/>
          <w:szCs w:val="32"/>
        </w:rPr>
        <w:t xml:space="preserve">条  </w:t>
      </w:r>
      <w:r>
        <w:rPr>
          <w:rFonts w:hint="eastAsia" w:ascii="方正黑体_GBK" w:hAnsi="方正黑体_GBK" w:eastAsia="方正黑体_GBK" w:cs="方正黑体_GBK"/>
          <w:b w:val="0"/>
          <w:bCs/>
          <w:color w:val="auto"/>
          <w:sz w:val="32"/>
          <w:szCs w:val="32"/>
        </w:rPr>
        <w:t>不履行</w:t>
      </w:r>
      <w:r>
        <w:rPr>
          <w:rFonts w:hint="eastAsia" w:ascii="黑体" w:hAnsi="黑体" w:eastAsia="黑体" w:cs="黑体"/>
          <w:b w:val="0"/>
          <w:bCs/>
          <w:color w:val="auto"/>
          <w:sz w:val="32"/>
          <w:szCs w:val="32"/>
        </w:rPr>
        <w:t>配合调查义务</w:t>
      </w:r>
      <w:bookmarkEnd w:id="136"/>
      <w:bookmarkEnd w:id="137"/>
      <w:bookmarkEnd w:id="138"/>
      <w:r>
        <w:rPr>
          <w:rFonts w:hint="eastAsia" w:ascii="黑体" w:hAnsi="黑体" w:eastAsia="黑体" w:cs="黑体"/>
          <w:b w:val="0"/>
          <w:bCs/>
          <w:color w:val="auto"/>
          <w:sz w:val="32"/>
          <w:szCs w:val="32"/>
        </w:rPr>
        <w:t>的处理</w:t>
      </w:r>
    </w:p>
    <w:p>
      <w:pPr>
        <w:snapToGrid w:val="0"/>
        <w:spacing w:after="0" w:line="594" w:lineRule="exact"/>
        <w:ind w:firstLine="56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被调查的药品经营者</w:t>
      </w:r>
      <w:r>
        <w:rPr>
          <w:rFonts w:hint="eastAsia" w:ascii="仿宋_GB2312" w:hAnsi="仿宋_GB2312" w:eastAsia="仿宋_GB2312" w:cs="仿宋_GB2312"/>
          <w:color w:val="auto"/>
          <w:sz w:val="32"/>
          <w:szCs w:val="32"/>
          <w:highlight w:val="none"/>
          <w:lang w:eastAsia="zh-CN"/>
        </w:rPr>
        <w:t>、利害关系人或者其他有关单位或者个人</w:t>
      </w:r>
      <w:r>
        <w:rPr>
          <w:rFonts w:hint="eastAsia" w:ascii="仿宋_GB2312" w:hAnsi="仿宋_GB2312" w:eastAsia="仿宋_GB2312" w:cs="仿宋_GB2312"/>
          <w:color w:val="auto"/>
          <w:sz w:val="32"/>
          <w:szCs w:val="32"/>
        </w:rPr>
        <w:t>应当配合反垄断执法机构依法履行职责，不得拒绝、阻碍反垄断执法机构的调查。</w:t>
      </w:r>
    </w:p>
    <w:p>
      <w:pPr>
        <w:snapToGrid w:val="0"/>
        <w:spacing w:after="0" w:line="594" w:lineRule="exact"/>
        <w:ind w:firstLine="560" w:firstLineChars="0"/>
        <w:jc w:val="both"/>
        <w:rPr>
          <w:rFonts w:hint="eastAsia" w:ascii="仿宋_GB2312" w:hAnsi="仿宋_GB2312" w:eastAsia="仿宋_GB2312" w:cs="仿宋_GB2312"/>
          <w:b w:val="0"/>
          <w:bCs w:val="0"/>
          <w:color w:val="auto"/>
          <w:sz w:val="32"/>
          <w:szCs w:val="32"/>
          <w:highlight w:val="none"/>
        </w:rPr>
      </w:pPr>
      <w:bookmarkStart w:id="149" w:name="OLE_LINK15"/>
      <w:r>
        <w:rPr>
          <w:rFonts w:hint="eastAsia" w:ascii="仿宋_GB2312" w:hAnsi="仿宋_GB2312" w:eastAsia="仿宋_GB2312" w:cs="仿宋_GB2312"/>
          <w:b w:val="0"/>
          <w:bCs w:val="0"/>
          <w:color w:val="auto"/>
          <w:sz w:val="32"/>
          <w:szCs w:val="32"/>
          <w:highlight w:val="none"/>
        </w:rPr>
        <w:t>积极配合调查并主动提供证据材料的，反垄断执法机构可以依法从轻或者减轻处罚。拒绝提供有关材料、信息，或者提供虚假材料、信息，或者隐匿、销毁、转移证据</w:t>
      </w:r>
      <w:r>
        <w:rPr>
          <w:rFonts w:hint="eastAsia" w:ascii="仿宋_GB2312" w:hAnsi="仿宋_GB2312" w:eastAsia="仿宋_GB2312" w:cs="仿宋_GB2312"/>
          <w:b w:val="0"/>
          <w:bCs w:val="0"/>
          <w:color w:val="auto"/>
          <w:sz w:val="32"/>
          <w:szCs w:val="32"/>
          <w:highlight w:val="none"/>
          <w:lang w:eastAsia="zh-CN"/>
        </w:rPr>
        <w:t>，或者有其他拒绝、阻碍调查行为的</w:t>
      </w:r>
      <w:r>
        <w:rPr>
          <w:rFonts w:hint="eastAsia" w:ascii="仿宋_GB2312" w:hAnsi="仿宋_GB2312" w:eastAsia="仿宋_GB2312" w:cs="仿宋_GB2312"/>
          <w:b w:val="0"/>
          <w:bCs w:val="0"/>
          <w:color w:val="auto"/>
          <w:sz w:val="32"/>
          <w:szCs w:val="32"/>
          <w:highlight w:val="none"/>
        </w:rPr>
        <w:t>，反垄断执法机构确定该经营者从事垄断行为的法律责任时可以依法从重处罚。</w:t>
      </w:r>
    </w:p>
    <w:bookmarkEnd w:id="149"/>
    <w:p>
      <w:pPr>
        <w:snapToGrid w:val="0"/>
        <w:spacing w:before="0" w:after="0" w:line="594" w:lineRule="exact"/>
        <w:ind w:firstLine="560" w:firstLineChars="0"/>
        <w:jc w:val="both"/>
        <w:rPr>
          <w:rFonts w:ascii="黑体" w:hAnsi="黑体" w:eastAsia="黑体" w:cs="黑体"/>
          <w:b w:val="0"/>
          <w:bCs/>
          <w:color w:val="auto"/>
          <w:sz w:val="32"/>
          <w:szCs w:val="32"/>
        </w:rPr>
      </w:pPr>
      <w:r>
        <w:rPr>
          <w:rFonts w:hint="eastAsia" w:ascii="黑体" w:hAnsi="黑体" w:eastAsia="黑体" w:cs="黑体"/>
          <w:b w:val="0"/>
          <w:bCs/>
          <w:color w:val="auto"/>
          <w:sz w:val="32"/>
          <w:szCs w:val="32"/>
        </w:rPr>
        <w:t>第四十</w:t>
      </w:r>
      <w:r>
        <w:rPr>
          <w:rFonts w:hint="eastAsia" w:ascii="黑体" w:hAnsi="黑体" w:eastAsia="黑体" w:cs="黑体"/>
          <w:b w:val="0"/>
          <w:bCs/>
          <w:color w:val="auto"/>
          <w:sz w:val="32"/>
          <w:szCs w:val="32"/>
          <w:lang w:eastAsia="zh-CN"/>
        </w:rPr>
        <w:t>七</w:t>
      </w:r>
      <w:r>
        <w:rPr>
          <w:rFonts w:hint="eastAsia" w:ascii="黑体" w:hAnsi="黑体" w:eastAsia="黑体" w:cs="黑体"/>
          <w:b w:val="0"/>
          <w:bCs/>
          <w:color w:val="auto"/>
          <w:sz w:val="32"/>
          <w:szCs w:val="32"/>
        </w:rPr>
        <w:t>条  组织与实质性帮助行为的法律责任</w:t>
      </w:r>
      <w:bookmarkEnd w:id="139"/>
      <w:bookmarkEnd w:id="140"/>
      <w:bookmarkEnd w:id="141"/>
      <w:bookmarkEnd w:id="142"/>
      <w:bookmarkEnd w:id="143"/>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经营者组织药品经营者达成垄断协议或者为药品经营者达成垄断协议提供实质性帮助的，依据《反垄断法》第五十六条第二款、第五十九条的规定，承担相应的法律责任。</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反垄断执法机构在确定经营者组织、提供实质性帮助行为的法律责任时，可以考虑垄断协议的性质与损害后果、该经营者在垄断协议达成与实施中的作用、参与时间、危害程度、主观过错、社会影响等因素。</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经营者为药品经营者达成垄断协议提供实质性帮助，情节轻微，并及时消除或者减轻行为危害后果的，反垄断执法机构可以酌情从轻或者减轻对该经营者的处罚。</w:t>
      </w:r>
    </w:p>
    <w:p>
      <w:pPr>
        <w:pStyle w:val="4"/>
        <w:snapToGrid w:val="0"/>
        <w:spacing w:before="0" w:after="0" w:line="594" w:lineRule="exact"/>
        <w:ind w:firstLine="640"/>
        <w:jc w:val="both"/>
        <w:rPr>
          <w:rFonts w:ascii="黑体" w:hAnsi="黑体" w:eastAsia="黑体" w:cs="黑体"/>
          <w:b w:val="0"/>
          <w:bCs/>
          <w:color w:val="auto"/>
          <w:sz w:val="32"/>
          <w:szCs w:val="32"/>
        </w:rPr>
      </w:pPr>
      <w:bookmarkStart w:id="150" w:name="_Toc463907512"/>
      <w:bookmarkStart w:id="151" w:name="_Toc1588295535"/>
      <w:bookmarkStart w:id="152" w:name="_Toc12839"/>
      <w:r>
        <w:rPr>
          <w:rFonts w:hint="eastAsia" w:ascii="黑体" w:hAnsi="黑体" w:eastAsia="黑体" w:cs="黑体"/>
          <w:b w:val="0"/>
          <w:bCs/>
          <w:color w:val="auto"/>
          <w:sz w:val="32"/>
          <w:szCs w:val="32"/>
        </w:rPr>
        <w:t>第四十</w:t>
      </w:r>
      <w:r>
        <w:rPr>
          <w:rFonts w:hint="eastAsia" w:ascii="黑体" w:hAnsi="黑体" w:eastAsia="黑体" w:cs="黑体"/>
          <w:b w:val="0"/>
          <w:bCs/>
          <w:color w:val="auto"/>
          <w:sz w:val="32"/>
          <w:szCs w:val="32"/>
          <w:lang w:eastAsia="zh-CN"/>
        </w:rPr>
        <w:t>八</w:t>
      </w:r>
      <w:r>
        <w:rPr>
          <w:rFonts w:hint="eastAsia" w:ascii="黑体" w:hAnsi="黑体" w:eastAsia="黑体" w:cs="黑体"/>
          <w:b w:val="0"/>
          <w:bCs/>
          <w:color w:val="auto"/>
          <w:sz w:val="32"/>
          <w:szCs w:val="32"/>
        </w:rPr>
        <w:t>条  宽大制度</w:t>
      </w:r>
      <w:bookmarkEnd w:id="150"/>
      <w:bookmarkEnd w:id="151"/>
      <w:bookmarkEnd w:id="152"/>
    </w:p>
    <w:p>
      <w:pPr>
        <w:snapToGrid w:val="0"/>
        <w:spacing w:after="0" w:line="594"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
        </w:rPr>
        <w:t>鼓励达成垄断协议的</w:t>
      </w:r>
      <w:r>
        <w:rPr>
          <w:rFonts w:hint="eastAsia" w:ascii="仿宋_GB2312" w:hAnsi="仿宋_GB2312" w:eastAsia="仿宋_GB2312" w:cs="仿宋_GB2312"/>
          <w:color w:val="auto"/>
          <w:sz w:val="32"/>
          <w:szCs w:val="32"/>
        </w:rPr>
        <w:t>药品经营者主动向反垄断执法机构报告</w:t>
      </w:r>
      <w:r>
        <w:rPr>
          <w:rFonts w:hint="eastAsia" w:ascii="仿宋_GB2312" w:hAnsi="仿宋_GB2312" w:eastAsia="仿宋_GB2312" w:cs="仿宋_GB2312"/>
          <w:color w:val="auto"/>
          <w:sz w:val="32"/>
          <w:szCs w:val="32"/>
          <w:lang w:eastAsia="zh-CN"/>
        </w:rPr>
        <w:t>达成</w:t>
      </w:r>
      <w:r>
        <w:rPr>
          <w:rFonts w:hint="eastAsia" w:ascii="仿宋_GB2312" w:hAnsi="仿宋_GB2312" w:eastAsia="仿宋_GB2312" w:cs="仿宋_GB2312"/>
          <w:color w:val="auto"/>
          <w:sz w:val="32"/>
          <w:szCs w:val="32"/>
        </w:rPr>
        <w:t>垄断协议有关情况并提供重要证据，及时停止</w:t>
      </w:r>
      <w:r>
        <w:rPr>
          <w:rFonts w:hint="eastAsia" w:ascii="仿宋_GB2312" w:hAnsi="仿宋_GB2312" w:eastAsia="仿宋_GB2312" w:cs="仿宋_GB2312"/>
          <w:color w:val="auto"/>
          <w:sz w:val="32"/>
          <w:szCs w:val="32"/>
          <w:lang w:eastAsia="zh-CN"/>
        </w:rPr>
        <w:t>实施垄断协议</w:t>
      </w:r>
      <w:r>
        <w:rPr>
          <w:rFonts w:hint="eastAsia" w:ascii="仿宋_GB2312" w:hAnsi="仿宋_GB2312" w:eastAsia="仿宋_GB2312" w:cs="仿宋_GB2312"/>
          <w:color w:val="auto"/>
          <w:sz w:val="32"/>
          <w:szCs w:val="32"/>
        </w:rPr>
        <w:t>并配合调查</w:t>
      </w:r>
      <w:r>
        <w:rPr>
          <w:rFonts w:hint="eastAsia" w:ascii="仿宋_GB2312" w:hAnsi="仿宋_GB2312" w:eastAsia="仿宋_GB2312" w:cs="仿宋_GB2312"/>
          <w:color w:val="auto"/>
          <w:sz w:val="32"/>
          <w:szCs w:val="32"/>
          <w:lang w:eastAsia="zh"/>
        </w:rPr>
        <w:t>。</w:t>
      </w:r>
      <w:r>
        <w:rPr>
          <w:rFonts w:ascii="仿宋_GB2312" w:hAnsi="仿宋_GB2312" w:eastAsia="仿宋_GB2312" w:cs="仿宋_GB2312"/>
          <w:color w:val="auto"/>
          <w:sz w:val="32"/>
          <w:szCs w:val="32"/>
        </w:rPr>
        <w:t>对符合宽大条件的</w:t>
      </w:r>
      <w:r>
        <w:rPr>
          <w:rFonts w:hint="eastAsia" w:ascii="仿宋_GB2312" w:hAnsi="仿宋_GB2312" w:eastAsia="仿宋_GB2312" w:cs="仿宋_GB2312"/>
          <w:color w:val="auto"/>
          <w:sz w:val="32"/>
          <w:szCs w:val="32"/>
        </w:rPr>
        <w:t>药品</w:t>
      </w:r>
      <w:r>
        <w:rPr>
          <w:rFonts w:ascii="仿宋_GB2312" w:hAnsi="仿宋_GB2312" w:eastAsia="仿宋_GB2312" w:cs="仿宋_GB2312"/>
          <w:color w:val="auto"/>
          <w:sz w:val="32"/>
          <w:szCs w:val="32"/>
        </w:rPr>
        <w:t>经营者，</w:t>
      </w:r>
      <w:r>
        <w:rPr>
          <w:rFonts w:hint="eastAsia" w:ascii="仿宋_GB2312" w:hAnsi="仿宋_GB2312" w:eastAsia="仿宋_GB2312" w:cs="仿宋_GB2312"/>
          <w:color w:val="auto"/>
          <w:sz w:val="32"/>
          <w:szCs w:val="32"/>
        </w:rPr>
        <w:t>反垄断执法机构可以酌情减轻或者免除对该经营者的处罚。</w:t>
      </w:r>
      <w:r>
        <w:rPr>
          <w:rFonts w:ascii="仿宋_GB2312" w:hAnsi="仿宋_GB2312" w:eastAsia="仿宋_GB2312" w:cs="仿宋_GB2312"/>
          <w:color w:val="auto"/>
          <w:sz w:val="32"/>
          <w:szCs w:val="32"/>
          <w:lang w:eastAsia="zh"/>
        </w:rPr>
        <w:t>组织</w:t>
      </w:r>
      <w:r>
        <w:rPr>
          <w:rFonts w:hint="eastAsia" w:ascii="仿宋_GB2312" w:hAnsi="仿宋_GB2312" w:eastAsia="仿宋_GB2312" w:cs="仿宋_GB2312"/>
          <w:color w:val="auto"/>
          <w:sz w:val="32"/>
          <w:szCs w:val="32"/>
          <w:lang w:eastAsia="zh"/>
        </w:rPr>
        <w:t>达成</w:t>
      </w:r>
      <w:r>
        <w:rPr>
          <w:rFonts w:ascii="仿宋_GB2312" w:hAnsi="仿宋_GB2312" w:eastAsia="仿宋_GB2312" w:cs="仿宋_GB2312"/>
          <w:color w:val="auto"/>
          <w:sz w:val="32"/>
          <w:szCs w:val="32"/>
          <w:lang w:eastAsia="zh"/>
        </w:rPr>
        <w:t>垄断协议或者提供实质性帮助的经营者</w:t>
      </w:r>
      <w:r>
        <w:rPr>
          <w:rFonts w:hint="eastAsia" w:ascii="仿宋_GB2312" w:hAnsi="仿宋_GB2312" w:eastAsia="仿宋_GB2312" w:cs="仿宋_GB2312"/>
          <w:color w:val="auto"/>
          <w:sz w:val="32"/>
          <w:szCs w:val="32"/>
        </w:rPr>
        <w:t>，以及对达成垄断协议负有个人责任的药品经营者的法定代表人、主要负责人和直接责任人员，也可以适用宽大制度。</w:t>
      </w:r>
    </w:p>
    <w:bookmarkEnd w:id="144"/>
    <w:bookmarkEnd w:id="145"/>
    <w:bookmarkEnd w:id="146"/>
    <w:bookmarkEnd w:id="147"/>
    <w:bookmarkEnd w:id="148"/>
    <w:p>
      <w:pPr>
        <w:pStyle w:val="4"/>
        <w:snapToGrid w:val="0"/>
        <w:spacing w:before="0" w:after="0" w:line="594" w:lineRule="exact"/>
        <w:ind w:firstLine="640"/>
        <w:jc w:val="both"/>
        <w:rPr>
          <w:rFonts w:ascii="黑体" w:hAnsi="黑体" w:eastAsia="黑体" w:cs="黑体"/>
          <w:b w:val="0"/>
          <w:bCs/>
          <w:color w:val="auto"/>
          <w:sz w:val="32"/>
          <w:szCs w:val="32"/>
        </w:rPr>
      </w:pPr>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eastAsia="zh-CN"/>
        </w:rPr>
        <w:t>四十九</w:t>
      </w:r>
      <w:r>
        <w:rPr>
          <w:rFonts w:hint="eastAsia" w:ascii="黑体" w:hAnsi="黑体" w:eastAsia="黑体" w:cs="黑体"/>
          <w:b w:val="0"/>
          <w:bCs/>
          <w:color w:val="auto"/>
          <w:sz w:val="32"/>
          <w:szCs w:val="32"/>
        </w:rPr>
        <w:t>条  分工协作滥用市场支配地位的法律责任</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两个以上的药品经营者分工协作从事药品生产、经营活动并以相互配合的方式滥用市场支配地位的，均应当依据《反垄断法》第五十七条、第五十九条的规定承担相应的法律责任。</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反垄断执法机构确定上述经营者的具体罚款数额，</w:t>
      </w:r>
      <w:r>
        <w:rPr>
          <w:rFonts w:hint="eastAsia" w:ascii="仿宋_GB2312" w:hAnsi="仿宋_GB2312" w:eastAsia="仿宋_GB2312" w:cs="仿宋_GB2312"/>
          <w:color w:val="auto"/>
          <w:sz w:val="32"/>
          <w:szCs w:val="32"/>
          <w:lang w:eastAsia="zh-CN"/>
        </w:rPr>
        <w:t>依据</w:t>
      </w:r>
      <w:r>
        <w:rPr>
          <w:rFonts w:hint="eastAsia" w:ascii="仿宋_GB2312" w:hAnsi="仿宋_GB2312" w:eastAsia="仿宋_GB2312" w:cs="仿宋_GB2312"/>
          <w:color w:val="auto"/>
          <w:sz w:val="32"/>
          <w:szCs w:val="32"/>
        </w:rPr>
        <w:t>个案情况，可以考虑以下因素：</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（一）参与决策的情况；</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（二）相互配合实施违法行为的情节；</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（三）在违法行为中发挥的不同作用；</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（四）垄断利润分配的情况。</w:t>
      </w:r>
    </w:p>
    <w:p>
      <w:pPr>
        <w:pStyle w:val="4"/>
        <w:snapToGrid w:val="0"/>
        <w:spacing w:before="0" w:after="0" w:line="594" w:lineRule="exact"/>
        <w:ind w:firstLine="640"/>
        <w:jc w:val="both"/>
        <w:rPr>
          <w:rFonts w:ascii="黑体" w:hAnsi="黑体" w:eastAsia="黑体" w:cs="黑体"/>
          <w:b w:val="0"/>
          <w:bCs/>
          <w:color w:val="auto"/>
          <w:sz w:val="32"/>
          <w:szCs w:val="32"/>
        </w:rPr>
      </w:pPr>
      <w:bookmarkStart w:id="153" w:name="_Toc30693"/>
      <w:bookmarkStart w:id="154" w:name="_Toc1270380208"/>
      <w:bookmarkStart w:id="155" w:name="_Toc67601392"/>
      <w:r>
        <w:rPr>
          <w:rFonts w:hint="eastAsia" w:ascii="黑体" w:hAnsi="黑体" w:eastAsia="黑体" w:cs="黑体"/>
          <w:b w:val="0"/>
          <w:bCs/>
          <w:color w:val="auto"/>
          <w:sz w:val="32"/>
          <w:szCs w:val="32"/>
        </w:rPr>
        <w:t>第五十条  具有控制关系的经营者滥用市场支配地位的法律责任</w:t>
      </w:r>
      <w:bookmarkEnd w:id="153"/>
      <w:bookmarkEnd w:id="154"/>
      <w:bookmarkEnd w:id="155"/>
    </w:p>
    <w:p>
      <w:pPr>
        <w:snapToGrid w:val="0"/>
        <w:spacing w:after="0" w:line="594" w:lineRule="exact"/>
        <w:ind w:firstLine="560" w:firstLineChars="0"/>
        <w:jc w:val="both"/>
        <w:rPr>
          <w:rFonts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lang w:eastAsia="zh-CN"/>
        </w:rPr>
        <w:t>参与实施</w:t>
      </w:r>
      <w:r>
        <w:rPr>
          <w:rFonts w:hint="eastAsia" w:ascii="仿宋_GB2312" w:hAnsi="仿宋_GB2312" w:eastAsia="仿宋_GB2312" w:cs="仿宋_GB2312"/>
          <w:color w:val="auto"/>
          <w:sz w:val="32"/>
          <w:szCs w:val="32"/>
        </w:rPr>
        <w:t>滥用市场支配地位行为的两个以上的药品经营者中</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特定经营者对其他经营者具有控制权或者能够施加决定性影响，或者被同一第三方控制或者施加决定性影响的，反垄断执法机构可以将上述参与垄断行为的经营者作为同一当事人，结合个案情况加以处罚。</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反垄断执法机构认定是否存在前款规定的具有控制权或者能够施加决定性影响情形，可以考虑药品经营者的股权结构、人员情况、业务决策、财务关系等因素。</w:t>
      </w:r>
    </w:p>
    <w:p>
      <w:pPr>
        <w:pStyle w:val="4"/>
        <w:snapToGrid w:val="0"/>
        <w:spacing w:before="0" w:after="0" w:line="594" w:lineRule="exact"/>
        <w:ind w:firstLine="640"/>
        <w:jc w:val="both"/>
        <w:rPr>
          <w:rFonts w:ascii="黑体" w:hAnsi="黑体" w:eastAsia="黑体" w:cs="黑体"/>
          <w:b w:val="0"/>
          <w:bCs/>
          <w:color w:val="auto"/>
          <w:sz w:val="32"/>
          <w:szCs w:val="32"/>
        </w:rPr>
      </w:pPr>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eastAsia="zh"/>
        </w:rPr>
        <w:t>五十</w:t>
      </w:r>
      <w:r>
        <w:rPr>
          <w:rFonts w:hint="eastAsia" w:ascii="黑体" w:hAnsi="黑体" w:eastAsia="黑体" w:cs="黑体"/>
          <w:b w:val="0"/>
          <w:bCs/>
          <w:color w:val="auto"/>
          <w:sz w:val="32"/>
          <w:szCs w:val="32"/>
          <w:lang w:eastAsia="zh-CN"/>
        </w:rPr>
        <w:t>一</w:t>
      </w:r>
      <w:r>
        <w:rPr>
          <w:rFonts w:hint="eastAsia" w:ascii="黑体" w:hAnsi="黑体" w:eastAsia="黑体" w:cs="黑体"/>
          <w:b w:val="0"/>
          <w:bCs/>
          <w:color w:val="auto"/>
          <w:sz w:val="32"/>
          <w:szCs w:val="32"/>
        </w:rPr>
        <w:t>条  从重处罚</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药品经营者违反《反垄断法》，</w:t>
      </w:r>
      <w:r>
        <w:rPr>
          <w:rFonts w:hint="eastAsia" w:ascii="仿宋_GB2312" w:hAnsi="仿宋_GB2312" w:eastAsia="仿宋_GB2312" w:cs="仿宋_GB2312"/>
          <w:color w:val="auto"/>
          <w:sz w:val="32"/>
          <w:szCs w:val="32"/>
          <w:lang w:eastAsia="zh-CN"/>
        </w:rPr>
        <w:t>存在</w:t>
      </w:r>
      <w:r>
        <w:rPr>
          <w:rFonts w:hint="eastAsia" w:ascii="仿宋_GB2312" w:hAnsi="仿宋_GB2312" w:eastAsia="仿宋_GB2312" w:cs="仿宋_GB2312"/>
          <w:color w:val="auto"/>
          <w:sz w:val="32"/>
          <w:szCs w:val="32"/>
        </w:rPr>
        <w:t>多次实施垄断行为、人为造成药品</w:t>
      </w:r>
      <w:r>
        <w:rPr>
          <w:rFonts w:hint="eastAsia" w:ascii="仿宋_GB2312" w:hAnsi="仿宋_GB2312" w:eastAsia="仿宋_GB2312" w:cs="仿宋_GB2312"/>
          <w:color w:val="auto"/>
          <w:sz w:val="32"/>
          <w:szCs w:val="32"/>
          <w:lang w:eastAsia="zh"/>
        </w:rPr>
        <w:t>供应</w:t>
      </w:r>
      <w:r>
        <w:rPr>
          <w:rFonts w:hint="eastAsia" w:ascii="仿宋_GB2312" w:hAnsi="仿宋_GB2312" w:eastAsia="仿宋_GB2312" w:cs="仿宋_GB2312"/>
          <w:color w:val="auto"/>
          <w:sz w:val="32"/>
          <w:szCs w:val="32"/>
        </w:rPr>
        <w:t>短缺、造成医保资金重大损失、危害公众健康等情况</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，反垄断执法机构可以依法从重处罚。</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药品经营者和其他有关单位或者个人违反《反垄断法》，</w:t>
      </w:r>
      <w:r>
        <w:rPr>
          <w:rFonts w:hint="eastAsia" w:ascii="仿宋_GB2312" w:hAnsi="仿宋_GB2312" w:eastAsia="仿宋_GB2312" w:cs="仿宋_GB2312"/>
          <w:color w:val="auto"/>
          <w:sz w:val="32"/>
          <w:szCs w:val="32"/>
        </w:rPr>
        <w:t>情节特别严重、影响特别恶劣、造成特别严重后果的，国务院反垄断执法机构可以依据《反垄断法》第六十三条的规定，在《反垄断法》第五十六条、第五十七条、第五十八条、第六十二条规定的罚款数额的二倍以上五倍以下确定具体罚款数额。</w:t>
      </w:r>
    </w:p>
    <w:p>
      <w:pPr>
        <w:pStyle w:val="4"/>
        <w:snapToGrid w:val="0"/>
        <w:spacing w:before="0" w:after="0" w:line="594" w:lineRule="exact"/>
        <w:ind w:firstLine="640"/>
        <w:jc w:val="both"/>
        <w:rPr>
          <w:rFonts w:ascii="黑体" w:hAnsi="黑体" w:eastAsia="黑体" w:cs="黑体"/>
          <w:b w:val="0"/>
          <w:bCs/>
          <w:color w:val="auto"/>
          <w:sz w:val="32"/>
          <w:szCs w:val="32"/>
        </w:rPr>
      </w:pPr>
      <w:bookmarkStart w:id="156" w:name="_Toc19131"/>
      <w:bookmarkStart w:id="157" w:name="_Toc1243562969"/>
      <w:bookmarkStart w:id="158" w:name="_Toc1419863498"/>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eastAsia="zh"/>
        </w:rPr>
        <w:t>五十</w:t>
      </w:r>
      <w:r>
        <w:rPr>
          <w:rFonts w:hint="eastAsia" w:ascii="黑体" w:hAnsi="黑体" w:eastAsia="黑体" w:cs="黑体"/>
          <w:b w:val="0"/>
          <w:bCs/>
          <w:color w:val="auto"/>
          <w:sz w:val="32"/>
          <w:szCs w:val="32"/>
          <w:lang w:eastAsia="zh-CN"/>
        </w:rPr>
        <w:t>二</w:t>
      </w:r>
      <w:r>
        <w:rPr>
          <w:rFonts w:hint="eastAsia" w:ascii="黑体" w:hAnsi="黑体" w:eastAsia="黑体" w:cs="黑体"/>
          <w:b w:val="0"/>
          <w:bCs/>
          <w:color w:val="auto"/>
          <w:sz w:val="32"/>
          <w:szCs w:val="32"/>
        </w:rPr>
        <w:t>条  信用惩戒</w:t>
      </w:r>
      <w:bookmarkEnd w:id="156"/>
      <w:bookmarkEnd w:id="157"/>
      <w:bookmarkEnd w:id="158"/>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药品经营者因违反《反垄断法》规定受到行政处罚的，按照国家有关规定记入信用记录，并通过国家企业信用信息公示系统依法向社会公示。</w:t>
      </w:r>
    </w:p>
    <w:p>
      <w:pPr>
        <w:pStyle w:val="4"/>
        <w:snapToGrid w:val="0"/>
        <w:spacing w:before="0" w:after="0" w:line="594" w:lineRule="exact"/>
        <w:ind w:firstLine="640"/>
        <w:jc w:val="both"/>
        <w:rPr>
          <w:rFonts w:ascii="黑体" w:hAnsi="黑体" w:eastAsia="黑体" w:cs="黑体"/>
          <w:b w:val="0"/>
          <w:bCs/>
          <w:color w:val="auto"/>
          <w:sz w:val="32"/>
          <w:szCs w:val="32"/>
        </w:rPr>
      </w:pPr>
      <w:bookmarkStart w:id="159" w:name="_Toc1251967379"/>
      <w:bookmarkStart w:id="160" w:name="_Toc807525422"/>
      <w:bookmarkStart w:id="161" w:name="_Toc1183302801"/>
      <w:bookmarkStart w:id="162" w:name="_Toc11798"/>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eastAsia="zh"/>
        </w:rPr>
        <w:t>五十</w:t>
      </w:r>
      <w:r>
        <w:rPr>
          <w:rFonts w:hint="eastAsia" w:ascii="黑体" w:hAnsi="黑体" w:eastAsia="黑体" w:cs="黑体"/>
          <w:b w:val="0"/>
          <w:bCs/>
          <w:color w:val="auto"/>
          <w:sz w:val="32"/>
          <w:szCs w:val="32"/>
          <w:lang w:eastAsia="zh-CN"/>
        </w:rPr>
        <w:t>三</w:t>
      </w:r>
      <w:r>
        <w:rPr>
          <w:rFonts w:hint="eastAsia" w:ascii="黑体" w:hAnsi="黑体" w:eastAsia="黑体" w:cs="黑体"/>
          <w:b w:val="0"/>
          <w:bCs/>
          <w:color w:val="auto"/>
          <w:sz w:val="32"/>
          <w:szCs w:val="32"/>
          <w:lang w:eastAsia="zh"/>
        </w:rPr>
        <w:t>条</w:t>
      </w:r>
      <w:r>
        <w:rPr>
          <w:rFonts w:hint="eastAsia" w:ascii="黑体" w:hAnsi="黑体" w:eastAsia="黑体" w:cs="黑体"/>
          <w:b w:val="0"/>
          <w:bCs/>
          <w:color w:val="auto"/>
          <w:sz w:val="32"/>
          <w:szCs w:val="32"/>
        </w:rPr>
        <w:t xml:space="preserve">  反垄断执法机构与其他部门的衔接</w:t>
      </w:r>
      <w:bookmarkEnd w:id="159"/>
      <w:bookmarkEnd w:id="160"/>
      <w:bookmarkEnd w:id="161"/>
      <w:bookmarkEnd w:id="162"/>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反垄断执法机构在调查药品领域垄断行为期间发现下列情况，应依法及时作出处置：</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（一）药品经营者涉嫌违反药品等行业监管法律、法规的，将问题线索移交行业监督管理部门；</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（二）相关单位或者个人涉嫌构成犯罪的，将问题线索移交公安机关；</w:t>
      </w:r>
    </w:p>
    <w:p>
      <w:pPr>
        <w:snapToGrid w:val="0"/>
        <w:spacing w:after="0" w:line="594" w:lineRule="exact"/>
        <w:ind w:firstLine="560" w:firstLineChars="0"/>
        <w:jc w:val="both"/>
        <w:rPr>
          <w:rFonts w:hint="eastAsia" w:ascii="方正黑体_GBK" w:hAnsi="方正黑体_GBK" w:eastAsia="方正黑体_GBK" w:cs="方正黑体_GBK"/>
          <w:color w:val="auto"/>
          <w:sz w:val="32"/>
          <w:szCs w:val="32"/>
        </w:rPr>
      </w:pPr>
      <w:r>
        <w:rPr>
          <w:rFonts w:hint="eastAsia" w:ascii="仿宋_GB2312" w:hAnsi="仿宋_GB2312" w:eastAsia="仿宋_GB2312" w:cs="仿宋_GB2312"/>
          <w:color w:val="auto"/>
          <w:sz w:val="32"/>
          <w:szCs w:val="32"/>
        </w:rPr>
        <w:t>（三）公职人员涉嫌职务违法、职务犯罪的，将问题线索移交纪检监察机关。</w:t>
      </w:r>
    </w:p>
    <w:p>
      <w:pPr>
        <w:pStyle w:val="4"/>
        <w:snapToGrid w:val="0"/>
        <w:spacing w:before="0" w:after="0" w:line="594" w:lineRule="exact"/>
        <w:ind w:firstLine="0" w:firstLineChars="0"/>
        <w:jc w:val="both"/>
        <w:rPr>
          <w:rFonts w:hint="eastAsia" w:ascii="黑体" w:hAnsi="黑体" w:eastAsia="黑体" w:cs="黑体"/>
          <w:b w:val="0"/>
          <w:bCs/>
          <w:color w:val="auto"/>
          <w:sz w:val="32"/>
          <w:szCs w:val="32"/>
        </w:rPr>
      </w:pPr>
    </w:p>
    <w:p>
      <w:pPr>
        <w:pStyle w:val="4"/>
        <w:snapToGrid w:val="0"/>
        <w:spacing w:before="0" w:after="0" w:line="594" w:lineRule="exact"/>
        <w:ind w:firstLine="0" w:firstLineChars="0"/>
        <w:jc w:val="center"/>
        <w:rPr>
          <w:rFonts w:ascii="黑体" w:hAnsi="黑体" w:eastAsia="黑体" w:cs="黑体"/>
          <w:b w:val="0"/>
          <w:bCs/>
          <w:color w:val="auto"/>
          <w:sz w:val="32"/>
          <w:szCs w:val="32"/>
        </w:rPr>
      </w:pPr>
      <w:r>
        <w:rPr>
          <w:rFonts w:hint="eastAsia" w:ascii="黑体" w:hAnsi="黑体" w:eastAsia="黑体" w:cs="黑体"/>
          <w:b w:val="0"/>
          <w:bCs/>
          <w:color w:val="auto"/>
          <w:sz w:val="32"/>
          <w:szCs w:val="32"/>
        </w:rPr>
        <w:t>第七章 附则</w:t>
      </w:r>
    </w:p>
    <w:p>
      <w:pPr>
        <w:snapToGrid w:val="0"/>
        <w:spacing w:after="0" w:line="594" w:lineRule="exact"/>
        <w:jc w:val="both"/>
        <w:rPr>
          <w:color w:val="auto"/>
        </w:rPr>
      </w:pPr>
    </w:p>
    <w:p>
      <w:pPr>
        <w:pStyle w:val="4"/>
        <w:snapToGrid w:val="0"/>
        <w:spacing w:before="0" w:after="0" w:line="594" w:lineRule="exact"/>
        <w:ind w:firstLine="640"/>
        <w:jc w:val="both"/>
        <w:rPr>
          <w:rFonts w:ascii="黑体" w:hAnsi="黑体" w:eastAsia="黑体" w:cs="黑体"/>
          <w:b w:val="0"/>
          <w:bCs/>
          <w:color w:val="auto"/>
          <w:sz w:val="32"/>
          <w:szCs w:val="32"/>
        </w:rPr>
      </w:pPr>
      <w:r>
        <w:rPr>
          <w:rFonts w:hint="eastAsia" w:ascii="黑体" w:hAnsi="黑体" w:eastAsia="黑体" w:cs="黑体"/>
          <w:b w:val="0"/>
          <w:bCs/>
          <w:color w:val="auto"/>
          <w:sz w:val="32"/>
          <w:szCs w:val="32"/>
        </w:rPr>
        <w:t>第五十</w:t>
      </w:r>
      <w:r>
        <w:rPr>
          <w:rFonts w:hint="eastAsia" w:ascii="黑体" w:hAnsi="黑体" w:eastAsia="黑体" w:cs="黑体"/>
          <w:b w:val="0"/>
          <w:bCs/>
          <w:color w:val="auto"/>
          <w:sz w:val="32"/>
          <w:szCs w:val="32"/>
          <w:lang w:eastAsia="zh-CN"/>
        </w:rPr>
        <w:t>四</w:t>
      </w:r>
      <w:r>
        <w:rPr>
          <w:rFonts w:hint="eastAsia" w:ascii="黑体" w:hAnsi="黑体" w:eastAsia="黑体" w:cs="黑体"/>
          <w:b w:val="0"/>
          <w:bCs/>
          <w:color w:val="auto"/>
          <w:sz w:val="32"/>
          <w:szCs w:val="32"/>
        </w:rPr>
        <w:t>条  适用范围</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本指南适用于所有药品领域的经营者及其生产、经营活动；药用辅料、药包材、医药中间体以及药品领域相关服务等适用本指南。</w:t>
      </w:r>
    </w:p>
    <w:p>
      <w:pPr>
        <w:pStyle w:val="4"/>
        <w:snapToGrid w:val="0"/>
        <w:spacing w:before="0" w:after="0" w:line="594" w:lineRule="exact"/>
        <w:ind w:firstLine="640"/>
        <w:jc w:val="both"/>
        <w:rPr>
          <w:rFonts w:ascii="黑体" w:hAnsi="黑体" w:eastAsia="黑体" w:cs="黑体"/>
          <w:b w:val="0"/>
          <w:bCs/>
          <w:color w:val="auto"/>
          <w:sz w:val="32"/>
          <w:szCs w:val="32"/>
        </w:rPr>
      </w:pPr>
      <w:bookmarkStart w:id="163" w:name="_Toc12920"/>
      <w:bookmarkStart w:id="164" w:name="_Toc1689997209"/>
      <w:bookmarkStart w:id="165" w:name="_Toc437851055"/>
      <w:bookmarkStart w:id="166" w:name="_Toc1499073693"/>
      <w:bookmarkStart w:id="167" w:name="_Toc1440940424"/>
      <w:bookmarkStart w:id="168" w:name="_Toc159414513"/>
      <w:r>
        <w:rPr>
          <w:rFonts w:hint="eastAsia" w:ascii="黑体" w:hAnsi="黑体" w:eastAsia="黑体" w:cs="黑体"/>
          <w:b w:val="0"/>
          <w:bCs/>
          <w:color w:val="auto"/>
          <w:sz w:val="32"/>
          <w:szCs w:val="32"/>
        </w:rPr>
        <w:t>第五十</w:t>
      </w:r>
      <w:r>
        <w:rPr>
          <w:rFonts w:hint="eastAsia" w:ascii="黑体" w:hAnsi="黑体" w:eastAsia="黑体" w:cs="黑体"/>
          <w:b w:val="0"/>
          <w:bCs/>
          <w:color w:val="auto"/>
          <w:sz w:val="32"/>
          <w:szCs w:val="32"/>
          <w:lang w:eastAsia="zh-CN"/>
        </w:rPr>
        <w:t>五</w:t>
      </w:r>
      <w:r>
        <w:rPr>
          <w:rFonts w:hint="eastAsia" w:ascii="黑体" w:hAnsi="黑体" w:eastAsia="黑体" w:cs="黑体"/>
          <w:b w:val="0"/>
          <w:bCs/>
          <w:color w:val="auto"/>
          <w:sz w:val="32"/>
          <w:szCs w:val="32"/>
        </w:rPr>
        <w:t>条  指南的</w:t>
      </w:r>
      <w:bookmarkEnd w:id="163"/>
      <w:bookmarkEnd w:id="164"/>
      <w:bookmarkEnd w:id="165"/>
      <w:bookmarkEnd w:id="166"/>
      <w:bookmarkEnd w:id="167"/>
      <w:bookmarkEnd w:id="168"/>
      <w:r>
        <w:rPr>
          <w:rFonts w:hint="eastAsia" w:ascii="黑体" w:hAnsi="黑体" w:eastAsia="黑体" w:cs="黑体"/>
          <w:b w:val="0"/>
          <w:bCs/>
          <w:color w:val="auto"/>
          <w:sz w:val="32"/>
          <w:szCs w:val="32"/>
        </w:rPr>
        <w:t>施行</w:t>
      </w:r>
    </w:p>
    <w:p>
      <w:pPr>
        <w:snapToGrid w:val="0"/>
        <w:spacing w:after="0" w:line="594" w:lineRule="exact"/>
        <w:ind w:firstLine="560" w:firstLineChars="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本指南由国务院反垄断反不正当竞争委员会解释，自发布之日起施行。《国务院反垄断委员会关于原料药领域的反垄断指南》同时废止。</w:t>
      </w:r>
    </w:p>
    <w:sectPr>
      <w:headerReference r:id="rId7" w:type="first"/>
      <w:footerReference r:id="rId10" w:type="first"/>
      <w:headerReference r:id="rId5" w:type="default"/>
      <w:footerReference r:id="rId8" w:type="default"/>
      <w:headerReference r:id="rId6" w:type="even"/>
      <w:footerReference r:id="rId9" w:type="even"/>
      <w:endnotePr>
        <w:numFmt w:val="decimal"/>
      </w:endnotePr>
      <w:pgSz w:w="11906" w:h="16838"/>
      <w:pgMar w:top="1440" w:right="1800" w:bottom="1440" w:left="1800" w:header="851" w:footer="992" w:gutter="0"/>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Helvetica">
    <w:altName w:val="FreeSans"/>
    <w:panose1 w:val="020B0504020202020204"/>
    <w:charset w:val="00"/>
    <w:family w:val="swiss"/>
    <w:pitch w:val="default"/>
    <w:sig w:usb0="00000000" w:usb1="00000000" w:usb2="00000009" w:usb3="00000000" w:csb0="000001FF" w:csb1="00000000"/>
  </w:font>
  <w:font w:name="微软雅黑">
    <w:altName w:val="黑体"/>
    <w:panose1 w:val="020B0503020204020204"/>
    <w:charset w:val="86"/>
    <w:family w:val="swiss"/>
    <w:pitch w:val="default"/>
    <w:sig w:usb0="00000000" w:usb1="00000000" w:usb2="00000016" w:usb3="00000000" w:csb0="0004001F"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FreeSans">
    <w:panose1 w:val="020B0504020202020204"/>
    <w:charset w:val="00"/>
    <w:family w:val="auto"/>
    <w:pitch w:val="default"/>
    <w:sig w:usb0="E4839EFF" w:usb1="4600FDFF" w:usb2="000030A0" w:usb3="00000584" w:csb0="6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7"/>
                      <w:ind w:firstLine="36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901ACC"/>
    <w:multiLevelType w:val="singleLevel"/>
    <w:tmpl w:val="A7901ACC"/>
    <w:lvl w:ilvl="0" w:tentative="0">
      <w:start w:val="1"/>
      <w:numFmt w:val="chineseCounting"/>
      <w:suff w:val="nothing"/>
      <w:lvlText w:val="（%1）"/>
      <w:lvlJc w:val="left"/>
      <w:rPr>
        <w:rFonts w:hint="eastAsia"/>
      </w:rPr>
    </w:lvl>
  </w:abstractNum>
  <w:abstractNum w:abstractNumId="1">
    <w:nsid w:val="E3BE0C53"/>
    <w:multiLevelType w:val="singleLevel"/>
    <w:tmpl w:val="E3BE0C53"/>
    <w:lvl w:ilvl="0" w:tentative="0">
      <w:start w:val="1"/>
      <w:numFmt w:val="chineseCounting"/>
      <w:suff w:val="nothing"/>
      <w:lvlText w:val="（%1）"/>
      <w:lvlJc w:val="left"/>
      <w:rPr>
        <w:rFonts w:hint="eastAsia"/>
      </w:rPr>
    </w:lvl>
  </w:abstractNum>
  <w:abstractNum w:abstractNumId="2">
    <w:nsid w:val="FAEFE85B"/>
    <w:multiLevelType w:val="singleLevel"/>
    <w:tmpl w:val="FAEFE85B"/>
    <w:lvl w:ilvl="0" w:tentative="0">
      <w:start w:val="2"/>
      <w:numFmt w:val="chineseCounting"/>
      <w:suff w:val="nothing"/>
      <w:lvlText w:val="（%1）"/>
      <w:lvlJc w:val="left"/>
      <w:rPr>
        <w:rFonts w:hint="eastAsia"/>
      </w:rPr>
    </w:lvl>
  </w:abstractNum>
  <w:abstractNum w:abstractNumId="3">
    <w:nsid w:val="FCDDA6F7"/>
    <w:multiLevelType w:val="singleLevel"/>
    <w:tmpl w:val="FCDDA6F7"/>
    <w:lvl w:ilvl="0" w:tentative="0">
      <w:start w:val="1"/>
      <w:numFmt w:val="chineseCounting"/>
      <w:suff w:val="nothing"/>
      <w:lvlText w:val="（%1）"/>
      <w:lvlJc w:val="left"/>
      <w:rPr>
        <w:rFonts w:hint="eastAsi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VlM2ViM2YzMDBkMDQ2N2Q4YTVhOTgzNzNkODhjNjAifQ=="/>
  </w:docVars>
  <w:rsids>
    <w:rsidRoot w:val="6F66F519"/>
    <w:rsid w:val="00000D59"/>
    <w:rsid w:val="00033931"/>
    <w:rsid w:val="0003502A"/>
    <w:rsid w:val="000403CA"/>
    <w:rsid w:val="00041158"/>
    <w:rsid w:val="0005122A"/>
    <w:rsid w:val="00074642"/>
    <w:rsid w:val="000866C3"/>
    <w:rsid w:val="00086F82"/>
    <w:rsid w:val="00091A4A"/>
    <w:rsid w:val="000929FC"/>
    <w:rsid w:val="000A7165"/>
    <w:rsid w:val="000B1811"/>
    <w:rsid w:val="000B2630"/>
    <w:rsid w:val="000B595B"/>
    <w:rsid w:val="000B761C"/>
    <w:rsid w:val="000C2C67"/>
    <w:rsid w:val="000C45A1"/>
    <w:rsid w:val="000C53FA"/>
    <w:rsid w:val="000D7016"/>
    <w:rsid w:val="000E7CDF"/>
    <w:rsid w:val="000F7BC0"/>
    <w:rsid w:val="00101E8D"/>
    <w:rsid w:val="00101EA0"/>
    <w:rsid w:val="00106DE9"/>
    <w:rsid w:val="00131D82"/>
    <w:rsid w:val="0013345E"/>
    <w:rsid w:val="00142DDD"/>
    <w:rsid w:val="00147142"/>
    <w:rsid w:val="001509E4"/>
    <w:rsid w:val="00154A76"/>
    <w:rsid w:val="0017169F"/>
    <w:rsid w:val="0018009D"/>
    <w:rsid w:val="00181CF9"/>
    <w:rsid w:val="0018345C"/>
    <w:rsid w:val="001846B8"/>
    <w:rsid w:val="001A777D"/>
    <w:rsid w:val="001B090C"/>
    <w:rsid w:val="001B0E8E"/>
    <w:rsid w:val="001B2C59"/>
    <w:rsid w:val="001B2EE3"/>
    <w:rsid w:val="001C05C8"/>
    <w:rsid w:val="001D289C"/>
    <w:rsid w:val="001D6515"/>
    <w:rsid w:val="001E1CF3"/>
    <w:rsid w:val="001E7107"/>
    <w:rsid w:val="001F102F"/>
    <w:rsid w:val="0020335F"/>
    <w:rsid w:val="0020422A"/>
    <w:rsid w:val="00206D30"/>
    <w:rsid w:val="0020709F"/>
    <w:rsid w:val="00212836"/>
    <w:rsid w:val="002246F0"/>
    <w:rsid w:val="0023499E"/>
    <w:rsid w:val="00235937"/>
    <w:rsid w:val="002420FD"/>
    <w:rsid w:val="002443E5"/>
    <w:rsid w:val="0025112D"/>
    <w:rsid w:val="002515A1"/>
    <w:rsid w:val="00261E6B"/>
    <w:rsid w:val="002666A4"/>
    <w:rsid w:val="00273A97"/>
    <w:rsid w:val="00276671"/>
    <w:rsid w:val="00290793"/>
    <w:rsid w:val="00292017"/>
    <w:rsid w:val="002B6B5E"/>
    <w:rsid w:val="002D34E4"/>
    <w:rsid w:val="002D798B"/>
    <w:rsid w:val="002E0BD3"/>
    <w:rsid w:val="002E1EE5"/>
    <w:rsid w:val="002E747F"/>
    <w:rsid w:val="002E7FF9"/>
    <w:rsid w:val="002F24C2"/>
    <w:rsid w:val="002F2775"/>
    <w:rsid w:val="00307A24"/>
    <w:rsid w:val="00311705"/>
    <w:rsid w:val="00336537"/>
    <w:rsid w:val="0034013A"/>
    <w:rsid w:val="00344478"/>
    <w:rsid w:val="003462D3"/>
    <w:rsid w:val="00354515"/>
    <w:rsid w:val="00354809"/>
    <w:rsid w:val="00361715"/>
    <w:rsid w:val="0038179B"/>
    <w:rsid w:val="00382635"/>
    <w:rsid w:val="0038622A"/>
    <w:rsid w:val="003A30D8"/>
    <w:rsid w:val="003A4BC4"/>
    <w:rsid w:val="003B0F13"/>
    <w:rsid w:val="003B7142"/>
    <w:rsid w:val="003C4285"/>
    <w:rsid w:val="003E1A7A"/>
    <w:rsid w:val="003E4936"/>
    <w:rsid w:val="003E5E1A"/>
    <w:rsid w:val="003F7BEE"/>
    <w:rsid w:val="004154ED"/>
    <w:rsid w:val="00426E57"/>
    <w:rsid w:val="00434674"/>
    <w:rsid w:val="00437717"/>
    <w:rsid w:val="00440A23"/>
    <w:rsid w:val="0044112B"/>
    <w:rsid w:val="00447CD7"/>
    <w:rsid w:val="00451733"/>
    <w:rsid w:val="00453829"/>
    <w:rsid w:val="00453FC5"/>
    <w:rsid w:val="004636FD"/>
    <w:rsid w:val="00463F05"/>
    <w:rsid w:val="00464961"/>
    <w:rsid w:val="00471BEC"/>
    <w:rsid w:val="0047460B"/>
    <w:rsid w:val="00477171"/>
    <w:rsid w:val="00491824"/>
    <w:rsid w:val="004B163F"/>
    <w:rsid w:val="004B7756"/>
    <w:rsid w:val="004B7CC8"/>
    <w:rsid w:val="004C1C10"/>
    <w:rsid w:val="004C4D88"/>
    <w:rsid w:val="004D0C29"/>
    <w:rsid w:val="004D4E95"/>
    <w:rsid w:val="004D6F41"/>
    <w:rsid w:val="004E061D"/>
    <w:rsid w:val="004F364F"/>
    <w:rsid w:val="00501338"/>
    <w:rsid w:val="00512EB0"/>
    <w:rsid w:val="00515F8C"/>
    <w:rsid w:val="00517224"/>
    <w:rsid w:val="00526E68"/>
    <w:rsid w:val="00536A3E"/>
    <w:rsid w:val="00541E71"/>
    <w:rsid w:val="005508A4"/>
    <w:rsid w:val="005569F8"/>
    <w:rsid w:val="00570D32"/>
    <w:rsid w:val="0057460A"/>
    <w:rsid w:val="005757E7"/>
    <w:rsid w:val="005978D1"/>
    <w:rsid w:val="005B1595"/>
    <w:rsid w:val="005B4965"/>
    <w:rsid w:val="005B4CB2"/>
    <w:rsid w:val="005C0A09"/>
    <w:rsid w:val="005C71E7"/>
    <w:rsid w:val="005D6009"/>
    <w:rsid w:val="005D6F94"/>
    <w:rsid w:val="005F2488"/>
    <w:rsid w:val="005F3FEF"/>
    <w:rsid w:val="005F6FF1"/>
    <w:rsid w:val="00614D32"/>
    <w:rsid w:val="00626714"/>
    <w:rsid w:val="00637C51"/>
    <w:rsid w:val="006452D6"/>
    <w:rsid w:val="00650690"/>
    <w:rsid w:val="00657875"/>
    <w:rsid w:val="006852F9"/>
    <w:rsid w:val="00697EA7"/>
    <w:rsid w:val="006B110D"/>
    <w:rsid w:val="006C489B"/>
    <w:rsid w:val="006E4C63"/>
    <w:rsid w:val="006E50BC"/>
    <w:rsid w:val="007139AE"/>
    <w:rsid w:val="007172C2"/>
    <w:rsid w:val="00720B4B"/>
    <w:rsid w:val="0073281C"/>
    <w:rsid w:val="0075633B"/>
    <w:rsid w:val="00772820"/>
    <w:rsid w:val="0077307E"/>
    <w:rsid w:val="00786618"/>
    <w:rsid w:val="007A2638"/>
    <w:rsid w:val="007A3E8B"/>
    <w:rsid w:val="007A640C"/>
    <w:rsid w:val="007A7BD0"/>
    <w:rsid w:val="007B1707"/>
    <w:rsid w:val="007B7C5B"/>
    <w:rsid w:val="007C20BB"/>
    <w:rsid w:val="007C2792"/>
    <w:rsid w:val="007C7D5A"/>
    <w:rsid w:val="007D37F5"/>
    <w:rsid w:val="007D646C"/>
    <w:rsid w:val="007D7368"/>
    <w:rsid w:val="007E2580"/>
    <w:rsid w:val="00811D20"/>
    <w:rsid w:val="0081275A"/>
    <w:rsid w:val="008226D5"/>
    <w:rsid w:val="00824294"/>
    <w:rsid w:val="00833230"/>
    <w:rsid w:val="00851969"/>
    <w:rsid w:val="0085370B"/>
    <w:rsid w:val="008612CF"/>
    <w:rsid w:val="00865218"/>
    <w:rsid w:val="0087464B"/>
    <w:rsid w:val="00876AFF"/>
    <w:rsid w:val="00885907"/>
    <w:rsid w:val="008866BB"/>
    <w:rsid w:val="008B18B8"/>
    <w:rsid w:val="008C486C"/>
    <w:rsid w:val="008C4ECA"/>
    <w:rsid w:val="008C5589"/>
    <w:rsid w:val="008D3344"/>
    <w:rsid w:val="008D723F"/>
    <w:rsid w:val="008F02BF"/>
    <w:rsid w:val="00904272"/>
    <w:rsid w:val="00907F8E"/>
    <w:rsid w:val="00911A6D"/>
    <w:rsid w:val="00914D60"/>
    <w:rsid w:val="009156D3"/>
    <w:rsid w:val="009320D2"/>
    <w:rsid w:val="009473D0"/>
    <w:rsid w:val="00954A77"/>
    <w:rsid w:val="00963C10"/>
    <w:rsid w:val="0096569B"/>
    <w:rsid w:val="009752C6"/>
    <w:rsid w:val="00981D87"/>
    <w:rsid w:val="00982E0F"/>
    <w:rsid w:val="00985C90"/>
    <w:rsid w:val="00987B25"/>
    <w:rsid w:val="0099668D"/>
    <w:rsid w:val="00996A60"/>
    <w:rsid w:val="00996C8D"/>
    <w:rsid w:val="009A3FD3"/>
    <w:rsid w:val="009B1629"/>
    <w:rsid w:val="009B7BDE"/>
    <w:rsid w:val="009C3FF2"/>
    <w:rsid w:val="009C68A6"/>
    <w:rsid w:val="009D2EF2"/>
    <w:rsid w:val="009D31D5"/>
    <w:rsid w:val="009D6B8D"/>
    <w:rsid w:val="009E2084"/>
    <w:rsid w:val="009E57EF"/>
    <w:rsid w:val="009F3D40"/>
    <w:rsid w:val="00A10D65"/>
    <w:rsid w:val="00A16C00"/>
    <w:rsid w:val="00A218C3"/>
    <w:rsid w:val="00A3072F"/>
    <w:rsid w:val="00A34B45"/>
    <w:rsid w:val="00A351DD"/>
    <w:rsid w:val="00A42293"/>
    <w:rsid w:val="00A554DD"/>
    <w:rsid w:val="00A61548"/>
    <w:rsid w:val="00A73AFD"/>
    <w:rsid w:val="00A83B30"/>
    <w:rsid w:val="00A93AA1"/>
    <w:rsid w:val="00A93B9A"/>
    <w:rsid w:val="00A94BF6"/>
    <w:rsid w:val="00A976D2"/>
    <w:rsid w:val="00AA1F02"/>
    <w:rsid w:val="00AA54BA"/>
    <w:rsid w:val="00AA7D86"/>
    <w:rsid w:val="00AB2573"/>
    <w:rsid w:val="00AC2D1C"/>
    <w:rsid w:val="00AD3867"/>
    <w:rsid w:val="00AD722D"/>
    <w:rsid w:val="00AE095F"/>
    <w:rsid w:val="00AE7BC6"/>
    <w:rsid w:val="00AF0DBC"/>
    <w:rsid w:val="00AF11D3"/>
    <w:rsid w:val="00AF5D74"/>
    <w:rsid w:val="00AF6001"/>
    <w:rsid w:val="00B02E72"/>
    <w:rsid w:val="00B03077"/>
    <w:rsid w:val="00B20490"/>
    <w:rsid w:val="00B2193B"/>
    <w:rsid w:val="00B33F31"/>
    <w:rsid w:val="00B37BCB"/>
    <w:rsid w:val="00B47D70"/>
    <w:rsid w:val="00B5614F"/>
    <w:rsid w:val="00B672AF"/>
    <w:rsid w:val="00B71412"/>
    <w:rsid w:val="00B92132"/>
    <w:rsid w:val="00BA5CCC"/>
    <w:rsid w:val="00BA7EE1"/>
    <w:rsid w:val="00BC5EF8"/>
    <w:rsid w:val="00BD3063"/>
    <w:rsid w:val="00BD3425"/>
    <w:rsid w:val="00BD4FA7"/>
    <w:rsid w:val="00BD6751"/>
    <w:rsid w:val="00C011DA"/>
    <w:rsid w:val="00C05548"/>
    <w:rsid w:val="00C13846"/>
    <w:rsid w:val="00C17648"/>
    <w:rsid w:val="00C3535C"/>
    <w:rsid w:val="00C402F5"/>
    <w:rsid w:val="00C43177"/>
    <w:rsid w:val="00C62F09"/>
    <w:rsid w:val="00C639B8"/>
    <w:rsid w:val="00C70181"/>
    <w:rsid w:val="00C72891"/>
    <w:rsid w:val="00C759EC"/>
    <w:rsid w:val="00C803E5"/>
    <w:rsid w:val="00C86DB8"/>
    <w:rsid w:val="00C95AC7"/>
    <w:rsid w:val="00CB0675"/>
    <w:rsid w:val="00CB21EF"/>
    <w:rsid w:val="00CB5FCE"/>
    <w:rsid w:val="00CC2358"/>
    <w:rsid w:val="00CD5E88"/>
    <w:rsid w:val="00CD723C"/>
    <w:rsid w:val="00CE31AE"/>
    <w:rsid w:val="00D07499"/>
    <w:rsid w:val="00D07A41"/>
    <w:rsid w:val="00D114AA"/>
    <w:rsid w:val="00D13416"/>
    <w:rsid w:val="00D175D7"/>
    <w:rsid w:val="00D24594"/>
    <w:rsid w:val="00D24B28"/>
    <w:rsid w:val="00D27B8D"/>
    <w:rsid w:val="00D339E4"/>
    <w:rsid w:val="00D3766B"/>
    <w:rsid w:val="00D54287"/>
    <w:rsid w:val="00D61FCD"/>
    <w:rsid w:val="00D63AA3"/>
    <w:rsid w:val="00D7723E"/>
    <w:rsid w:val="00D870A5"/>
    <w:rsid w:val="00D876A3"/>
    <w:rsid w:val="00DA294B"/>
    <w:rsid w:val="00DA583F"/>
    <w:rsid w:val="00DB3D6D"/>
    <w:rsid w:val="00DC494E"/>
    <w:rsid w:val="00DC518C"/>
    <w:rsid w:val="00DD39DB"/>
    <w:rsid w:val="00DF6B1A"/>
    <w:rsid w:val="00E06905"/>
    <w:rsid w:val="00E119B4"/>
    <w:rsid w:val="00E175D2"/>
    <w:rsid w:val="00E20B98"/>
    <w:rsid w:val="00E25DF7"/>
    <w:rsid w:val="00E3617B"/>
    <w:rsid w:val="00E434E2"/>
    <w:rsid w:val="00E52F82"/>
    <w:rsid w:val="00E53974"/>
    <w:rsid w:val="00E568FC"/>
    <w:rsid w:val="00E621A9"/>
    <w:rsid w:val="00E700FF"/>
    <w:rsid w:val="00E763B6"/>
    <w:rsid w:val="00E8256F"/>
    <w:rsid w:val="00E826E5"/>
    <w:rsid w:val="00E82C62"/>
    <w:rsid w:val="00E86C83"/>
    <w:rsid w:val="00E87514"/>
    <w:rsid w:val="00EA2C58"/>
    <w:rsid w:val="00EB1EE7"/>
    <w:rsid w:val="00EB5358"/>
    <w:rsid w:val="00EC67B9"/>
    <w:rsid w:val="00ED3EF3"/>
    <w:rsid w:val="00EE5EB0"/>
    <w:rsid w:val="00F05A17"/>
    <w:rsid w:val="00F05E83"/>
    <w:rsid w:val="00F071FC"/>
    <w:rsid w:val="00F12D69"/>
    <w:rsid w:val="00F31ECC"/>
    <w:rsid w:val="00F329A3"/>
    <w:rsid w:val="00F43445"/>
    <w:rsid w:val="00F93DAA"/>
    <w:rsid w:val="00FA19ED"/>
    <w:rsid w:val="00FC5C56"/>
    <w:rsid w:val="00FE69A3"/>
    <w:rsid w:val="00FF4434"/>
    <w:rsid w:val="058F1702"/>
    <w:rsid w:val="05901080"/>
    <w:rsid w:val="0AF7FEC7"/>
    <w:rsid w:val="0BE54DFD"/>
    <w:rsid w:val="0DAE1A7D"/>
    <w:rsid w:val="0F2FCECF"/>
    <w:rsid w:val="0FEFA489"/>
    <w:rsid w:val="137F1D39"/>
    <w:rsid w:val="15485C50"/>
    <w:rsid w:val="16573BA2"/>
    <w:rsid w:val="16FE917C"/>
    <w:rsid w:val="17076CD5"/>
    <w:rsid w:val="177F2C26"/>
    <w:rsid w:val="17FE26D5"/>
    <w:rsid w:val="1AF5021C"/>
    <w:rsid w:val="1F7ACC84"/>
    <w:rsid w:val="1FE84B65"/>
    <w:rsid w:val="1FFF5ED1"/>
    <w:rsid w:val="252C0FC8"/>
    <w:rsid w:val="27B3B1C6"/>
    <w:rsid w:val="27FBBD3E"/>
    <w:rsid w:val="28FBF21C"/>
    <w:rsid w:val="2CF86F82"/>
    <w:rsid w:val="2E7BA30B"/>
    <w:rsid w:val="2EFF73FE"/>
    <w:rsid w:val="2FDCF5D4"/>
    <w:rsid w:val="2FFF013B"/>
    <w:rsid w:val="2FFFF97B"/>
    <w:rsid w:val="305D308E"/>
    <w:rsid w:val="333D2594"/>
    <w:rsid w:val="361EBE0B"/>
    <w:rsid w:val="36785268"/>
    <w:rsid w:val="37BF9B6F"/>
    <w:rsid w:val="37BFC8D5"/>
    <w:rsid w:val="37EEBB10"/>
    <w:rsid w:val="3BB7DF0A"/>
    <w:rsid w:val="3BFF9E6D"/>
    <w:rsid w:val="3CB23F0F"/>
    <w:rsid w:val="3CFFCF53"/>
    <w:rsid w:val="3DAE996F"/>
    <w:rsid w:val="3DB997D1"/>
    <w:rsid w:val="3DBF2613"/>
    <w:rsid w:val="3DD9D06F"/>
    <w:rsid w:val="3DDDF9F4"/>
    <w:rsid w:val="3DDF892B"/>
    <w:rsid w:val="3DEFDFE9"/>
    <w:rsid w:val="3DF53F32"/>
    <w:rsid w:val="3EFFE5FF"/>
    <w:rsid w:val="3F9FB9A1"/>
    <w:rsid w:val="3FB7AFB5"/>
    <w:rsid w:val="3FBFADF6"/>
    <w:rsid w:val="3FDFB824"/>
    <w:rsid w:val="3FED9620"/>
    <w:rsid w:val="3FFD362E"/>
    <w:rsid w:val="3FFF146B"/>
    <w:rsid w:val="3FFFC1F9"/>
    <w:rsid w:val="44FBA9CD"/>
    <w:rsid w:val="45FFA73F"/>
    <w:rsid w:val="461F1036"/>
    <w:rsid w:val="477DB91C"/>
    <w:rsid w:val="4B7D3FF2"/>
    <w:rsid w:val="4D2B7103"/>
    <w:rsid w:val="4D3EE1F0"/>
    <w:rsid w:val="4DD94337"/>
    <w:rsid w:val="4F412204"/>
    <w:rsid w:val="4FCEA436"/>
    <w:rsid w:val="4FF51356"/>
    <w:rsid w:val="4FF74A73"/>
    <w:rsid w:val="4FFFB073"/>
    <w:rsid w:val="52DFE4AF"/>
    <w:rsid w:val="53EE78E4"/>
    <w:rsid w:val="55104B34"/>
    <w:rsid w:val="555F1703"/>
    <w:rsid w:val="56BF02EB"/>
    <w:rsid w:val="571D7AF5"/>
    <w:rsid w:val="571F3423"/>
    <w:rsid w:val="573BAB76"/>
    <w:rsid w:val="5776876C"/>
    <w:rsid w:val="57B56EC7"/>
    <w:rsid w:val="57BE124E"/>
    <w:rsid w:val="57CF7482"/>
    <w:rsid w:val="5A598A57"/>
    <w:rsid w:val="5AE37F14"/>
    <w:rsid w:val="5B7F8D11"/>
    <w:rsid w:val="5B9B3D9A"/>
    <w:rsid w:val="5BE61BD0"/>
    <w:rsid w:val="5CAE68D1"/>
    <w:rsid w:val="5DC906BD"/>
    <w:rsid w:val="5E7F9CDD"/>
    <w:rsid w:val="5EBF65CF"/>
    <w:rsid w:val="5EBFA270"/>
    <w:rsid w:val="5EC1F61A"/>
    <w:rsid w:val="5FBA75DB"/>
    <w:rsid w:val="5FBFCD02"/>
    <w:rsid w:val="5FCFBDAA"/>
    <w:rsid w:val="5FEF848A"/>
    <w:rsid w:val="5FEFE103"/>
    <w:rsid w:val="5FFBC6DB"/>
    <w:rsid w:val="5FFD3C99"/>
    <w:rsid w:val="6165E2AF"/>
    <w:rsid w:val="62640C04"/>
    <w:rsid w:val="63BBE3CD"/>
    <w:rsid w:val="63FE4B27"/>
    <w:rsid w:val="6454231D"/>
    <w:rsid w:val="67AF612C"/>
    <w:rsid w:val="67BC08FE"/>
    <w:rsid w:val="67D54441"/>
    <w:rsid w:val="67D778BA"/>
    <w:rsid w:val="67F9102F"/>
    <w:rsid w:val="69BA90EF"/>
    <w:rsid w:val="69EF97D6"/>
    <w:rsid w:val="6B37118E"/>
    <w:rsid w:val="6B39205B"/>
    <w:rsid w:val="6BFD2830"/>
    <w:rsid w:val="6BFFA38D"/>
    <w:rsid w:val="6BFFFEB2"/>
    <w:rsid w:val="6CF5519E"/>
    <w:rsid w:val="6DDF26FE"/>
    <w:rsid w:val="6EF1E1E3"/>
    <w:rsid w:val="6EF39B7D"/>
    <w:rsid w:val="6EF77A00"/>
    <w:rsid w:val="6EFEEF5E"/>
    <w:rsid w:val="6F2E267F"/>
    <w:rsid w:val="6F66F519"/>
    <w:rsid w:val="6FB83A05"/>
    <w:rsid w:val="6FDE2F38"/>
    <w:rsid w:val="6FF74ADB"/>
    <w:rsid w:val="6FFC8632"/>
    <w:rsid w:val="6FFF577E"/>
    <w:rsid w:val="71A49CD9"/>
    <w:rsid w:val="72EF8E35"/>
    <w:rsid w:val="73779559"/>
    <w:rsid w:val="73A777EF"/>
    <w:rsid w:val="73DBD9D1"/>
    <w:rsid w:val="73DFE184"/>
    <w:rsid w:val="73FD7203"/>
    <w:rsid w:val="73FF8CF0"/>
    <w:rsid w:val="74FFB0C7"/>
    <w:rsid w:val="76DFE393"/>
    <w:rsid w:val="773F27D1"/>
    <w:rsid w:val="77BBE773"/>
    <w:rsid w:val="77DCB70A"/>
    <w:rsid w:val="77DD0075"/>
    <w:rsid w:val="77EF1ADF"/>
    <w:rsid w:val="77F26672"/>
    <w:rsid w:val="77F4512B"/>
    <w:rsid w:val="78EFC726"/>
    <w:rsid w:val="78F69567"/>
    <w:rsid w:val="79B31162"/>
    <w:rsid w:val="79C7A003"/>
    <w:rsid w:val="79DF14FE"/>
    <w:rsid w:val="79EA076C"/>
    <w:rsid w:val="79F786AB"/>
    <w:rsid w:val="7A3C46E5"/>
    <w:rsid w:val="7ABA6649"/>
    <w:rsid w:val="7ABC07BF"/>
    <w:rsid w:val="7ADB988C"/>
    <w:rsid w:val="7AF20407"/>
    <w:rsid w:val="7AFD0278"/>
    <w:rsid w:val="7B6E498A"/>
    <w:rsid w:val="7BDF01EC"/>
    <w:rsid w:val="7BDF81BC"/>
    <w:rsid w:val="7BED322C"/>
    <w:rsid w:val="7BF6ED3F"/>
    <w:rsid w:val="7BF8C600"/>
    <w:rsid w:val="7BF9EA33"/>
    <w:rsid w:val="7BFD829D"/>
    <w:rsid w:val="7BFF8522"/>
    <w:rsid w:val="7C39EE90"/>
    <w:rsid w:val="7C67868E"/>
    <w:rsid w:val="7C8F584B"/>
    <w:rsid w:val="7C9F49B9"/>
    <w:rsid w:val="7CDECBE7"/>
    <w:rsid w:val="7CEFE00A"/>
    <w:rsid w:val="7CF56506"/>
    <w:rsid w:val="7CFA7862"/>
    <w:rsid w:val="7CFE790D"/>
    <w:rsid w:val="7D5A6012"/>
    <w:rsid w:val="7D5F5EDD"/>
    <w:rsid w:val="7D74F951"/>
    <w:rsid w:val="7DB818B6"/>
    <w:rsid w:val="7DBF4009"/>
    <w:rsid w:val="7DD75C65"/>
    <w:rsid w:val="7DEDFF0E"/>
    <w:rsid w:val="7DEF1A00"/>
    <w:rsid w:val="7DFBAEEB"/>
    <w:rsid w:val="7DFBC432"/>
    <w:rsid w:val="7DFE1E98"/>
    <w:rsid w:val="7E3D18B7"/>
    <w:rsid w:val="7E6A40C0"/>
    <w:rsid w:val="7E75A100"/>
    <w:rsid w:val="7EBB9A7D"/>
    <w:rsid w:val="7EBF9284"/>
    <w:rsid w:val="7EDDA9B6"/>
    <w:rsid w:val="7EDF8231"/>
    <w:rsid w:val="7EEDE506"/>
    <w:rsid w:val="7EF304F0"/>
    <w:rsid w:val="7EF611B6"/>
    <w:rsid w:val="7EF732A4"/>
    <w:rsid w:val="7EFD38EF"/>
    <w:rsid w:val="7EFDAA54"/>
    <w:rsid w:val="7EFFDE58"/>
    <w:rsid w:val="7F173B1B"/>
    <w:rsid w:val="7F217F2F"/>
    <w:rsid w:val="7F2F54CA"/>
    <w:rsid w:val="7F3E8F9E"/>
    <w:rsid w:val="7F4CCE95"/>
    <w:rsid w:val="7F4F4E47"/>
    <w:rsid w:val="7F7D717B"/>
    <w:rsid w:val="7F7F01E0"/>
    <w:rsid w:val="7F9FE96E"/>
    <w:rsid w:val="7FA1E019"/>
    <w:rsid w:val="7FA85CEC"/>
    <w:rsid w:val="7FACC2C2"/>
    <w:rsid w:val="7FB309D4"/>
    <w:rsid w:val="7FB3E439"/>
    <w:rsid w:val="7FB6D945"/>
    <w:rsid w:val="7FB6FEE1"/>
    <w:rsid w:val="7FB7A267"/>
    <w:rsid w:val="7FBB5E8E"/>
    <w:rsid w:val="7FBE6579"/>
    <w:rsid w:val="7FBF3FBF"/>
    <w:rsid w:val="7FBF5DDE"/>
    <w:rsid w:val="7FC5FA3F"/>
    <w:rsid w:val="7FCF7770"/>
    <w:rsid w:val="7FDDA409"/>
    <w:rsid w:val="7FDF22E7"/>
    <w:rsid w:val="7FEFB09D"/>
    <w:rsid w:val="7FF4AD72"/>
    <w:rsid w:val="7FF4C072"/>
    <w:rsid w:val="7FF8247B"/>
    <w:rsid w:val="7FF8D04E"/>
    <w:rsid w:val="7FF996D8"/>
    <w:rsid w:val="7FFC4721"/>
    <w:rsid w:val="7FFC66EE"/>
    <w:rsid w:val="7FFD33A7"/>
    <w:rsid w:val="7FFEBD53"/>
    <w:rsid w:val="7FFF9CDE"/>
    <w:rsid w:val="7FFFF945"/>
    <w:rsid w:val="8F7F92FC"/>
    <w:rsid w:val="9AF74EDE"/>
    <w:rsid w:val="9B6F527D"/>
    <w:rsid w:val="9CDE7908"/>
    <w:rsid w:val="9F6F0DCC"/>
    <w:rsid w:val="9FEF77D0"/>
    <w:rsid w:val="A641E185"/>
    <w:rsid w:val="A73B97C2"/>
    <w:rsid w:val="A7EED047"/>
    <w:rsid w:val="ACFDBE03"/>
    <w:rsid w:val="ADFF0C29"/>
    <w:rsid w:val="AFBF398A"/>
    <w:rsid w:val="AFF53B5E"/>
    <w:rsid w:val="B1D72CBB"/>
    <w:rsid w:val="B3FC20E2"/>
    <w:rsid w:val="B6FFB18B"/>
    <w:rsid w:val="B7DF8E66"/>
    <w:rsid w:val="B7F94CA5"/>
    <w:rsid w:val="B7FDF01B"/>
    <w:rsid w:val="B7FF5183"/>
    <w:rsid w:val="B7FFD1B9"/>
    <w:rsid w:val="B9FFA1EA"/>
    <w:rsid w:val="BA828217"/>
    <w:rsid w:val="BA9F6720"/>
    <w:rsid w:val="BBAF9322"/>
    <w:rsid w:val="BBFB4E1D"/>
    <w:rsid w:val="BC9F094F"/>
    <w:rsid w:val="BCFEF344"/>
    <w:rsid w:val="BD47D6A0"/>
    <w:rsid w:val="BDF7199D"/>
    <w:rsid w:val="BDFF6AA7"/>
    <w:rsid w:val="BE7A8806"/>
    <w:rsid w:val="BECFC688"/>
    <w:rsid w:val="BEFEE775"/>
    <w:rsid w:val="BF2B3159"/>
    <w:rsid w:val="BF3EFD4B"/>
    <w:rsid w:val="BF45DCC5"/>
    <w:rsid w:val="BF5FEAC8"/>
    <w:rsid w:val="BF7B300C"/>
    <w:rsid w:val="BF7BDEE3"/>
    <w:rsid w:val="BF7F69AA"/>
    <w:rsid w:val="BF9D5A17"/>
    <w:rsid w:val="BFB6E31F"/>
    <w:rsid w:val="BFBAB77A"/>
    <w:rsid w:val="BFDD483D"/>
    <w:rsid w:val="BFE70D37"/>
    <w:rsid w:val="BFEB494E"/>
    <w:rsid w:val="BFEB78BD"/>
    <w:rsid w:val="BFEFA4A6"/>
    <w:rsid w:val="BFFBCEBF"/>
    <w:rsid w:val="BFFF8B35"/>
    <w:rsid w:val="BFFFF09A"/>
    <w:rsid w:val="C7FD22B0"/>
    <w:rsid w:val="C9FF6CF8"/>
    <w:rsid w:val="CB2B85DF"/>
    <w:rsid w:val="CBF58703"/>
    <w:rsid w:val="CE3F319A"/>
    <w:rsid w:val="CEEDC6D8"/>
    <w:rsid w:val="CF069260"/>
    <w:rsid w:val="CF3D764E"/>
    <w:rsid w:val="CFF76866"/>
    <w:rsid w:val="D0B78397"/>
    <w:rsid w:val="D10FA0C9"/>
    <w:rsid w:val="D2EAE850"/>
    <w:rsid w:val="D5BBA0B7"/>
    <w:rsid w:val="D5BE4D9F"/>
    <w:rsid w:val="D6BFAF08"/>
    <w:rsid w:val="D738DC01"/>
    <w:rsid w:val="D7B70D1C"/>
    <w:rsid w:val="D8F75662"/>
    <w:rsid w:val="D8FE3423"/>
    <w:rsid w:val="DA562874"/>
    <w:rsid w:val="DAC7A744"/>
    <w:rsid w:val="DADFC718"/>
    <w:rsid w:val="DB678DDF"/>
    <w:rsid w:val="DBACA2F1"/>
    <w:rsid w:val="DBBC252E"/>
    <w:rsid w:val="DBFD9D34"/>
    <w:rsid w:val="DBFFB8C4"/>
    <w:rsid w:val="DD37135A"/>
    <w:rsid w:val="DDFB3CDE"/>
    <w:rsid w:val="DDFE4686"/>
    <w:rsid w:val="DDFF0BA1"/>
    <w:rsid w:val="DE2C8D7B"/>
    <w:rsid w:val="DEB3F90E"/>
    <w:rsid w:val="DEBF80AC"/>
    <w:rsid w:val="DEDD0647"/>
    <w:rsid w:val="DF3F036E"/>
    <w:rsid w:val="DF3F2FE7"/>
    <w:rsid w:val="DFDC9A59"/>
    <w:rsid w:val="DFDE514A"/>
    <w:rsid w:val="DFF54F99"/>
    <w:rsid w:val="DFFDA40B"/>
    <w:rsid w:val="DFFF2485"/>
    <w:rsid w:val="E2FE2877"/>
    <w:rsid w:val="E3A7B3C9"/>
    <w:rsid w:val="E5778EE1"/>
    <w:rsid w:val="E635916B"/>
    <w:rsid w:val="E73BB045"/>
    <w:rsid w:val="E768229C"/>
    <w:rsid w:val="E9890D50"/>
    <w:rsid w:val="E9BF2B4C"/>
    <w:rsid w:val="E9F0EA95"/>
    <w:rsid w:val="EBFD07DA"/>
    <w:rsid w:val="EBFF1E0B"/>
    <w:rsid w:val="ECBF90A7"/>
    <w:rsid w:val="EDD39EA5"/>
    <w:rsid w:val="EDDEF83F"/>
    <w:rsid w:val="EDE76828"/>
    <w:rsid w:val="EDEA15C6"/>
    <w:rsid w:val="EDFEE798"/>
    <w:rsid w:val="EE7D77AB"/>
    <w:rsid w:val="EEB78F22"/>
    <w:rsid w:val="EECF08AC"/>
    <w:rsid w:val="EEDB1648"/>
    <w:rsid w:val="EEFD1D56"/>
    <w:rsid w:val="EF77F58C"/>
    <w:rsid w:val="EF89618D"/>
    <w:rsid w:val="EF957AEA"/>
    <w:rsid w:val="EF9E1355"/>
    <w:rsid w:val="EFB820E0"/>
    <w:rsid w:val="EFCF43B3"/>
    <w:rsid w:val="EFDD1958"/>
    <w:rsid w:val="EFEE02C8"/>
    <w:rsid w:val="EFEF8593"/>
    <w:rsid w:val="EFF264EC"/>
    <w:rsid w:val="EFFCBE6F"/>
    <w:rsid w:val="F17E264C"/>
    <w:rsid w:val="F2DE27DE"/>
    <w:rsid w:val="F2FC4A5C"/>
    <w:rsid w:val="F37F5E0A"/>
    <w:rsid w:val="F4FE8413"/>
    <w:rsid w:val="F52F1E45"/>
    <w:rsid w:val="F59F8310"/>
    <w:rsid w:val="F5F7A5B3"/>
    <w:rsid w:val="F6376677"/>
    <w:rsid w:val="F65D119D"/>
    <w:rsid w:val="F6BF4784"/>
    <w:rsid w:val="F6E92A47"/>
    <w:rsid w:val="F6FAEA38"/>
    <w:rsid w:val="F6FF5E2E"/>
    <w:rsid w:val="F77F3045"/>
    <w:rsid w:val="F77F89B9"/>
    <w:rsid w:val="F7BC4FEA"/>
    <w:rsid w:val="F7E795E6"/>
    <w:rsid w:val="F7E95C51"/>
    <w:rsid w:val="F7F526E8"/>
    <w:rsid w:val="F7FA216E"/>
    <w:rsid w:val="F7FE8DC1"/>
    <w:rsid w:val="F7FF1680"/>
    <w:rsid w:val="F8B36844"/>
    <w:rsid w:val="F99F1D8B"/>
    <w:rsid w:val="F9B1BD43"/>
    <w:rsid w:val="F9BFC22F"/>
    <w:rsid w:val="FAC28B47"/>
    <w:rsid w:val="FADD1072"/>
    <w:rsid w:val="FAF182D9"/>
    <w:rsid w:val="FB3E852A"/>
    <w:rsid w:val="FB6FB30A"/>
    <w:rsid w:val="FBAE25A4"/>
    <w:rsid w:val="FBC7A4A9"/>
    <w:rsid w:val="FBF3E94E"/>
    <w:rsid w:val="FBF735CD"/>
    <w:rsid w:val="FBFE9914"/>
    <w:rsid w:val="FC6FF786"/>
    <w:rsid w:val="FCDF16C0"/>
    <w:rsid w:val="FD3740DD"/>
    <w:rsid w:val="FD37791E"/>
    <w:rsid w:val="FD8FA2F1"/>
    <w:rsid w:val="FDB43433"/>
    <w:rsid w:val="FDBD5F73"/>
    <w:rsid w:val="FDCE7446"/>
    <w:rsid w:val="FDEE84B5"/>
    <w:rsid w:val="FDEF771F"/>
    <w:rsid w:val="FDF7423F"/>
    <w:rsid w:val="FDFD4533"/>
    <w:rsid w:val="FDFFB507"/>
    <w:rsid w:val="FE3782C3"/>
    <w:rsid w:val="FE5E19E1"/>
    <w:rsid w:val="FE7CAE33"/>
    <w:rsid w:val="FE7F5965"/>
    <w:rsid w:val="FEEFF427"/>
    <w:rsid w:val="FEF22854"/>
    <w:rsid w:val="FEF36491"/>
    <w:rsid w:val="FEF3A5AB"/>
    <w:rsid w:val="FEF5DA0E"/>
    <w:rsid w:val="FEF7BC19"/>
    <w:rsid w:val="FEFE1D90"/>
    <w:rsid w:val="FEFE9792"/>
    <w:rsid w:val="FEFF902D"/>
    <w:rsid w:val="FF176852"/>
    <w:rsid w:val="FF3BC785"/>
    <w:rsid w:val="FF6952DA"/>
    <w:rsid w:val="FF7B664A"/>
    <w:rsid w:val="FF7DDD8E"/>
    <w:rsid w:val="FF7DDFFB"/>
    <w:rsid w:val="FF7F135B"/>
    <w:rsid w:val="FF7FDBA6"/>
    <w:rsid w:val="FF9F0A01"/>
    <w:rsid w:val="FFA59CB9"/>
    <w:rsid w:val="FFAB1A71"/>
    <w:rsid w:val="FFAF74DA"/>
    <w:rsid w:val="FFB7F831"/>
    <w:rsid w:val="FFBD194B"/>
    <w:rsid w:val="FFBDE13C"/>
    <w:rsid w:val="FFBE80FD"/>
    <w:rsid w:val="FFBF43D5"/>
    <w:rsid w:val="FFCFDDD5"/>
    <w:rsid w:val="FFE37ED2"/>
    <w:rsid w:val="FFE78C61"/>
    <w:rsid w:val="FFEB226C"/>
    <w:rsid w:val="FFEEFF32"/>
    <w:rsid w:val="FFEFC8D2"/>
    <w:rsid w:val="FFF22505"/>
    <w:rsid w:val="FFF27B95"/>
    <w:rsid w:val="FFF27C82"/>
    <w:rsid w:val="FFF7A790"/>
    <w:rsid w:val="FFF81CDF"/>
    <w:rsid w:val="FFFB119E"/>
    <w:rsid w:val="FFFC9F78"/>
    <w:rsid w:val="FFFD55A5"/>
    <w:rsid w:val="FFFDA83D"/>
    <w:rsid w:val="FFFEF747"/>
    <w:rsid w:val="FFFF6D0D"/>
    <w:rsid w:val="FFFFC27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360" w:lineRule="auto"/>
      <w:ind w:firstLine="420" w:firstLineChars="20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6" w:lineRule="auto"/>
      <w:jc w:val="center"/>
      <w:outlineLvl w:val="0"/>
    </w:pPr>
    <w:rPr>
      <w:rFonts w:eastAsia="黑体"/>
      <w:b/>
      <w:kern w:val="44"/>
      <w:sz w:val="28"/>
    </w:rPr>
  </w:style>
  <w:style w:type="paragraph" w:styleId="4">
    <w:name w:val="heading 2"/>
    <w:basedOn w:val="1"/>
    <w:next w:val="1"/>
    <w:unhideWhenUsed/>
    <w:qFormat/>
    <w:uiPriority w:val="0"/>
    <w:pPr>
      <w:keepNext/>
      <w:keepLines/>
      <w:spacing w:before="260" w:after="260"/>
      <w:ind w:firstLine="562"/>
      <w:outlineLvl w:val="1"/>
    </w:pPr>
    <w:rPr>
      <w:rFonts w:ascii="Arial" w:hAnsi="Arial" w:eastAsia="仿宋"/>
      <w:b/>
      <w:sz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spacing w:line="360" w:lineRule="exact"/>
      <w:ind w:firstLine="420" w:firstLineChars="200"/>
    </w:pPr>
    <w:rPr>
      <w:szCs w:val="20"/>
    </w:rPr>
  </w:style>
  <w:style w:type="paragraph" w:styleId="5">
    <w:name w:val="annotation text"/>
    <w:basedOn w:val="1"/>
    <w:link w:val="18"/>
    <w:qFormat/>
    <w:uiPriority w:val="0"/>
    <w:pPr>
      <w:jc w:val="left"/>
    </w:pPr>
  </w:style>
  <w:style w:type="paragraph" w:styleId="6">
    <w:name w:val="Body Text"/>
    <w:basedOn w:val="1"/>
    <w:link w:val="24"/>
    <w:qFormat/>
    <w:uiPriority w:val="0"/>
    <w:pPr>
      <w:spacing w:after="120"/>
    </w:pPr>
  </w:style>
  <w:style w:type="paragraph" w:styleId="7">
    <w:name w:val="footer"/>
    <w:unhideWhenUsed/>
    <w:qFormat/>
    <w:uiPriority w:val="99"/>
    <w:pPr>
      <w:widowControl w:val="0"/>
      <w:tabs>
        <w:tab w:val="center" w:pos="4153"/>
        <w:tab w:val="right" w:pos="8306"/>
      </w:tabs>
      <w:snapToGrid w:val="0"/>
      <w:spacing w:after="160" w:line="240" w:lineRule="atLeast"/>
      <w:ind w:firstLine="560" w:firstLineChars="200"/>
    </w:pPr>
    <w:rPr>
      <w:rFonts w:ascii="仿宋" w:hAnsi="仿宋" w:eastAsia="仿宋" w:cs="仿宋"/>
      <w:kern w:val="2"/>
      <w:sz w:val="18"/>
      <w:szCs w:val="18"/>
      <w:lang w:val="en-US" w:eastAsia="zh-CN" w:bidi="ar-SA"/>
    </w:rPr>
  </w:style>
  <w:style w:type="paragraph" w:styleId="8">
    <w:name w:val="header"/>
    <w:unhideWhenUsed/>
    <w:qFormat/>
    <w:uiPriority w:val="99"/>
    <w:pPr>
      <w:widowControl w:val="0"/>
      <w:tabs>
        <w:tab w:val="center" w:pos="4153"/>
        <w:tab w:val="right" w:pos="8306"/>
      </w:tabs>
      <w:snapToGrid w:val="0"/>
      <w:spacing w:after="160" w:line="240" w:lineRule="atLeast"/>
      <w:ind w:firstLine="560" w:firstLineChars="200"/>
      <w:jc w:val="center"/>
    </w:pPr>
    <w:rPr>
      <w:rFonts w:ascii="仿宋" w:hAnsi="仿宋" w:eastAsia="仿宋" w:cs="仿宋"/>
      <w:kern w:val="2"/>
      <w:sz w:val="18"/>
      <w:szCs w:val="18"/>
      <w:lang w:val="en-US" w:eastAsia="zh-CN" w:bidi="ar-SA"/>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annotation subject"/>
    <w:basedOn w:val="5"/>
    <w:next w:val="5"/>
    <w:link w:val="26"/>
    <w:qFormat/>
    <w:uiPriority w:val="0"/>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Hyperlink"/>
    <w:basedOn w:val="13"/>
    <w:qFormat/>
    <w:uiPriority w:val="99"/>
    <w:rPr>
      <w:color w:val="0000FF"/>
      <w:u w:val="single"/>
    </w:rPr>
  </w:style>
  <w:style w:type="character" w:styleId="16">
    <w:name w:val="annotation reference"/>
    <w:basedOn w:val="13"/>
    <w:qFormat/>
    <w:uiPriority w:val="0"/>
    <w:rPr>
      <w:sz w:val="21"/>
      <w:szCs w:val="21"/>
    </w:rPr>
  </w:style>
  <w:style w:type="paragraph" w:customStyle="1" w:styleId="17">
    <w:name w:val="p1"/>
    <w:basedOn w:val="1"/>
    <w:qFormat/>
    <w:uiPriority w:val="0"/>
    <w:pPr>
      <w:spacing w:after="0"/>
      <w:jc w:val="left"/>
    </w:pPr>
    <w:rPr>
      <w:rFonts w:ascii="Helvetica" w:hAnsi="Helvetica" w:eastAsia="Helvetica" w:cs="Times New Roman"/>
      <w:kern w:val="0"/>
      <w:sz w:val="24"/>
    </w:rPr>
  </w:style>
  <w:style w:type="character" w:customStyle="1" w:styleId="18">
    <w:name w:val="批注文字 字符"/>
    <w:basedOn w:val="13"/>
    <w:link w:val="5"/>
    <w:qFormat/>
    <w:uiPriority w:val="0"/>
    <w:rPr>
      <w:rFonts w:asciiTheme="minorHAnsi" w:hAnsiTheme="minorHAnsi" w:eastAsiaTheme="minorEastAsia" w:cstheme="minorBidi"/>
      <w:kern w:val="2"/>
      <w:sz w:val="21"/>
      <w:szCs w:val="24"/>
    </w:rPr>
  </w:style>
  <w:style w:type="paragraph" w:customStyle="1" w:styleId="19">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20">
    <w:name w:val="21bc9c4b-6a32-43e5-beaa-fd2d792c5735"/>
    <w:basedOn w:val="3"/>
    <w:next w:val="21"/>
    <w:link w:val="22"/>
    <w:qFormat/>
    <w:uiPriority w:val="0"/>
    <w:pPr>
      <w:spacing w:before="0" w:after="0" w:line="288" w:lineRule="auto"/>
      <w:jc w:val="left"/>
    </w:pPr>
    <w:rPr>
      <w:rFonts w:ascii="微软雅黑" w:hAnsi="微软雅黑" w:eastAsia="微软雅黑" w:cs="黑体"/>
      <w:color w:val="000000"/>
      <w:sz w:val="32"/>
      <w:szCs w:val="32"/>
    </w:rPr>
  </w:style>
  <w:style w:type="paragraph" w:customStyle="1" w:styleId="21">
    <w:name w:val="acbfdd8b-e11b-4d36-88ff-6049b138f862"/>
    <w:basedOn w:val="6"/>
    <w:link w:val="23"/>
    <w:qFormat/>
    <w:uiPriority w:val="0"/>
    <w:pPr>
      <w:spacing w:after="0" w:line="288" w:lineRule="auto"/>
      <w:jc w:val="left"/>
    </w:pPr>
    <w:rPr>
      <w:rFonts w:ascii="微软雅黑" w:hAnsi="微软雅黑" w:eastAsia="微软雅黑" w:cs="黑体"/>
      <w:color w:val="000000"/>
      <w:sz w:val="22"/>
      <w:szCs w:val="32"/>
    </w:rPr>
  </w:style>
  <w:style w:type="character" w:customStyle="1" w:styleId="22">
    <w:name w:val="21bc9c4b-6a32-43e5-beaa-fd2d792c5735 字符"/>
    <w:basedOn w:val="13"/>
    <w:link w:val="20"/>
    <w:qFormat/>
    <w:uiPriority w:val="0"/>
    <w:rPr>
      <w:rFonts w:ascii="微软雅黑" w:hAnsi="微软雅黑" w:eastAsia="微软雅黑" w:cs="黑体"/>
      <w:b/>
      <w:color w:val="000000"/>
      <w:kern w:val="44"/>
      <w:sz w:val="32"/>
      <w:szCs w:val="32"/>
    </w:rPr>
  </w:style>
  <w:style w:type="character" w:customStyle="1" w:styleId="23">
    <w:name w:val="acbfdd8b-e11b-4d36-88ff-6049b138f862 字符"/>
    <w:basedOn w:val="13"/>
    <w:link w:val="21"/>
    <w:qFormat/>
    <w:uiPriority w:val="0"/>
    <w:rPr>
      <w:rFonts w:ascii="微软雅黑" w:hAnsi="微软雅黑" w:eastAsia="微软雅黑" w:cs="黑体"/>
      <w:color w:val="000000"/>
      <w:kern w:val="2"/>
      <w:sz w:val="22"/>
      <w:szCs w:val="32"/>
    </w:rPr>
  </w:style>
  <w:style w:type="character" w:customStyle="1" w:styleId="24">
    <w:name w:val="正文文本 字符"/>
    <w:basedOn w:val="13"/>
    <w:link w:val="6"/>
    <w:qFormat/>
    <w:uiPriority w:val="0"/>
    <w:rPr>
      <w:rFonts w:asciiTheme="minorHAnsi" w:hAnsiTheme="minorHAnsi" w:eastAsiaTheme="minorEastAsia" w:cstheme="minorBidi"/>
      <w:kern w:val="2"/>
      <w:sz w:val="21"/>
      <w:szCs w:val="24"/>
    </w:rPr>
  </w:style>
  <w:style w:type="paragraph" w:customStyle="1" w:styleId="25">
    <w:name w:val="修订2"/>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26">
    <w:name w:val="批注主题 字符"/>
    <w:basedOn w:val="18"/>
    <w:link w:val="10"/>
    <w:qFormat/>
    <w:uiPriority w:val="0"/>
    <w:rPr>
      <w:rFonts w:asciiTheme="minorHAnsi" w:hAnsiTheme="minorHAnsi" w:eastAsiaTheme="minorEastAsia" w:cstheme="minorBidi"/>
      <w:b/>
      <w:bCs/>
      <w:kern w:val="2"/>
      <w:sz w:val="21"/>
      <w:szCs w:val="24"/>
    </w:rPr>
  </w:style>
  <w:style w:type="paragraph" w:customStyle="1" w:styleId="27">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29</Pages>
  <Words>2202</Words>
  <Characters>12553</Characters>
  <Lines>104</Lines>
  <Paragraphs>29</Paragraphs>
  <TotalTime>60</TotalTime>
  <ScaleCrop>false</ScaleCrop>
  <LinksUpToDate>false</LinksUpToDate>
  <CharactersWithSpaces>14726</CharactersWithSpaces>
  <Application>WPS Office_11.8.2.10552_F1E327BC-269C-435d-A152-05C5408002CA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2024-04-04T17:02:00Z</dcterms:created>
  <dc:creator>孙艺欣</dc:creator>
  <cp:lastModifiedBy>q</cp:lastModifiedBy>
  <cp:lastPrinted>2024-08-02T02:35:00Z</cp:lastPrinted>
  <dcterms:modified xsi:type="dcterms:W3CDTF">2024-08-02T09:27:47Z</dcterms:modified>
  <cp:revision>187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2052-11.8.2.10552</vt:lpwstr>
  </property>
  <property fmtid="{D5CDD505-2E9C-101B-9397-08002B2CF9AE}" pid="3" name="ICV">
    <vt:lpwstr>A2D4272DDE7F8236B49AFE65650C36AD_41</vt:lpwstr>
  </property>
</Properties>
</file>