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widowControl w:val="0"/>
        <w:adjustRightInd/>
        <w:snapToGrid w:val="0"/>
        <w:spacing w:before="0" w:after="0" w:line="240" w:lineRule="auto"/>
        <w:ind w:firstLine="0" w:firstLineChars="0"/>
        <w:rPr>
          <w:rFonts w:ascii="宋体" w:hAnsi="宋体" w:eastAsia="宋体"/>
          <w:b w:val="0"/>
          <w:bCs/>
          <w:kern w:val="2"/>
          <w:sz w:val="44"/>
          <w:szCs w:val="32"/>
          <w:lang w:eastAsia="zh-CN"/>
        </w:rPr>
      </w:pPr>
      <w:bookmarkStart w:id="0" w:name="_GoBack"/>
      <w:bookmarkEnd w:id="0"/>
      <w:r>
        <w:rPr>
          <w:rFonts w:ascii="宋体" w:hAnsi="宋体" w:eastAsia="宋体"/>
          <w:b w:val="0"/>
          <w:bCs/>
          <w:kern w:val="2"/>
          <w:sz w:val="44"/>
          <w:szCs w:val="32"/>
          <w:lang w:eastAsia="zh-CN"/>
        </w:rPr>
        <w:t>关于</w:t>
      </w:r>
      <w:r>
        <w:rPr>
          <w:rFonts w:ascii="Times New Roman" w:hAnsi="Times New Roman" w:eastAsia="宋体"/>
          <w:b w:val="0"/>
          <w:bCs/>
          <w:kern w:val="2"/>
          <w:sz w:val="44"/>
          <w:szCs w:val="32"/>
          <w:lang w:eastAsia="zh-CN"/>
        </w:rPr>
        <w:t>JX</w:t>
      </w:r>
      <w:r>
        <w:rPr>
          <w:rFonts w:ascii="宋体" w:hAnsi="宋体" w:eastAsia="宋体"/>
          <w:b w:val="0"/>
          <w:bCs/>
          <w:kern w:val="2"/>
          <w:sz w:val="44"/>
          <w:szCs w:val="32"/>
          <w:lang w:eastAsia="zh-CN"/>
        </w:rPr>
        <w:t>金属株式会社收购</w:t>
      </w:r>
    </w:p>
    <w:p>
      <w:pPr>
        <w:pStyle w:val="12"/>
        <w:widowControl w:val="0"/>
        <w:adjustRightInd/>
        <w:snapToGrid w:val="0"/>
        <w:spacing w:before="0" w:after="0" w:line="240" w:lineRule="auto"/>
        <w:ind w:firstLine="0" w:firstLineChars="0"/>
        <w:rPr>
          <w:rFonts w:ascii="宋体" w:hAnsi="宋体" w:eastAsia="宋体"/>
          <w:b w:val="0"/>
          <w:bCs/>
          <w:kern w:val="2"/>
          <w:sz w:val="44"/>
          <w:szCs w:val="32"/>
          <w:lang w:eastAsia="zh-CN"/>
        </w:rPr>
      </w:pPr>
      <w:r>
        <w:rPr>
          <w:rFonts w:ascii="宋体" w:hAnsi="宋体" w:eastAsia="宋体"/>
          <w:b w:val="0"/>
          <w:bCs/>
          <w:kern w:val="2"/>
          <w:sz w:val="44"/>
          <w:szCs w:val="32"/>
          <w:lang w:eastAsia="zh-CN"/>
        </w:rPr>
        <w:t>拓自达电线株式会社股权案的</w:t>
      </w:r>
    </w:p>
    <w:p>
      <w:pPr>
        <w:pStyle w:val="12"/>
        <w:widowControl w:val="0"/>
        <w:adjustRightInd/>
        <w:snapToGrid w:val="0"/>
        <w:spacing w:before="0" w:after="0" w:line="240" w:lineRule="auto"/>
        <w:ind w:firstLine="0" w:firstLineChars="0"/>
        <w:rPr>
          <w:rFonts w:ascii="宋体" w:hAnsi="宋体" w:eastAsia="宋体"/>
          <w:b w:val="0"/>
          <w:bCs/>
          <w:kern w:val="2"/>
          <w:sz w:val="44"/>
          <w:szCs w:val="32"/>
          <w:lang w:eastAsia="zh-CN"/>
        </w:rPr>
      </w:pPr>
      <w:r>
        <w:rPr>
          <w:rFonts w:ascii="宋体" w:hAnsi="宋体" w:eastAsia="宋体"/>
          <w:b w:val="0"/>
          <w:bCs/>
          <w:kern w:val="2"/>
          <w:sz w:val="44"/>
          <w:szCs w:val="32"/>
          <w:lang w:eastAsia="zh-CN"/>
        </w:rPr>
        <w:t>附加限制性条件承诺方案</w:t>
      </w:r>
    </w:p>
    <w:p>
      <w:pPr>
        <w:spacing w:after="120"/>
        <w:jc w:val="center"/>
        <w:rPr>
          <w:rFonts w:ascii="Times New Roman" w:hAnsi="Times New Roman" w:eastAsia="仿宋_GB2312" w:cs="Times New Roman"/>
          <w:bCs/>
          <w:sz w:val="32"/>
          <w:szCs w:val="32"/>
        </w:rPr>
      </w:pPr>
    </w:p>
    <w:p>
      <w:pPr>
        <w:spacing w:after="120"/>
        <w:jc w:val="center"/>
        <w:rPr>
          <w:rFonts w:ascii="Times New Roman" w:hAnsi="Times New Roman" w:eastAsia="仿宋_GB2312" w:cs="Times New Roman"/>
          <w:bCs/>
          <w:sz w:val="32"/>
          <w:szCs w:val="32"/>
        </w:rPr>
      </w:pPr>
      <w:r>
        <w:rPr>
          <w:rFonts w:ascii="Times New Roman" w:hAnsi="Times New Roman" w:eastAsia="仿宋_GB2312" w:cs="Times New Roman"/>
          <w:bCs/>
          <w:sz w:val="32"/>
          <w:szCs w:val="32"/>
        </w:rPr>
        <w:t>2024年5月13日</w:t>
      </w:r>
    </w:p>
    <w:p>
      <w:pPr>
        <w:widowControl/>
        <w:shd w:val="clear" w:color="auto" w:fill="FFFFFF"/>
        <w:jc w:val="left"/>
        <w:rPr>
          <w:rFonts w:ascii="Times New Roman" w:hAnsi="Times New Roman" w:eastAsia="宋体" w:cs="Times New Roman"/>
          <w:color w:val="000000"/>
          <w:kern w:val="0"/>
          <w:sz w:val="24"/>
          <w:szCs w:val="24"/>
        </w:rPr>
      </w:pPr>
    </w:p>
    <w:p>
      <w:pPr>
        <w:spacing w:after="120" w:line="360" w:lineRule="auto"/>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根据《中华人民共和国反垄断法》《经营者集中审查规定》</w:t>
      </w:r>
      <w:r>
        <w:rPr>
          <w:rFonts w:hint="eastAsia" w:ascii="Times New Roman" w:hAnsi="Times New Roman" w:eastAsia="仿宋_GB2312" w:cs="Times New Roman"/>
          <w:sz w:val="32"/>
          <w:szCs w:val="32"/>
        </w:rPr>
        <w:t>和其他</w:t>
      </w:r>
      <w:r>
        <w:rPr>
          <w:rFonts w:ascii="Times New Roman" w:hAnsi="Times New Roman" w:eastAsia="仿宋_GB2312" w:cs="Times New Roman"/>
          <w:sz w:val="32"/>
          <w:szCs w:val="32"/>
        </w:rPr>
        <w:t>法律法规，JX金属株式会社（</w:t>
      </w:r>
      <w:r>
        <w:rPr>
          <w:rFonts w:hint="eastAsia" w:ascii="Times New Roman" w:hAnsi="Times New Roman" w:eastAsia="仿宋_GB2312" w:cs="Times New Roman"/>
          <w:sz w:val="32"/>
          <w:szCs w:val="32"/>
        </w:rPr>
        <w:t>以下简称“</w:t>
      </w:r>
      <w:r>
        <w:rPr>
          <w:rFonts w:ascii="Times New Roman" w:hAnsi="Times New Roman" w:eastAsia="仿宋_GB2312" w:cs="Times New Roman"/>
          <w:sz w:val="32"/>
          <w:szCs w:val="32"/>
        </w:rPr>
        <w:t>JX金属</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）与拓自达电线株式会社（</w:t>
      </w:r>
      <w:r>
        <w:rPr>
          <w:rFonts w:hint="eastAsia" w:ascii="Times New Roman" w:hAnsi="Times New Roman" w:eastAsia="仿宋_GB2312" w:cs="Times New Roman"/>
          <w:sz w:val="32"/>
          <w:szCs w:val="32"/>
        </w:rPr>
        <w:t>以下简称“</w:t>
      </w:r>
      <w:r>
        <w:rPr>
          <w:rFonts w:ascii="Times New Roman" w:hAnsi="Times New Roman" w:eastAsia="仿宋_GB2312" w:cs="Times New Roman"/>
          <w:sz w:val="32"/>
          <w:szCs w:val="32"/>
        </w:rPr>
        <w:t>拓自达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，与JX金属合称</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交易方</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）谨就JX金属收购拓自达股权案（</w:t>
      </w:r>
      <w:r>
        <w:rPr>
          <w:rFonts w:hint="eastAsia" w:ascii="Times New Roman" w:hAnsi="Times New Roman" w:eastAsia="仿宋_GB2312" w:cs="Times New Roman"/>
          <w:sz w:val="32"/>
          <w:szCs w:val="32"/>
        </w:rPr>
        <w:t>以下简称“</w:t>
      </w:r>
      <w:r>
        <w:rPr>
          <w:rFonts w:ascii="Times New Roman" w:hAnsi="Times New Roman" w:eastAsia="仿宋_GB2312" w:cs="Times New Roman"/>
          <w:sz w:val="32"/>
          <w:szCs w:val="32"/>
        </w:rPr>
        <w:t>拟议交易</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）向国家市场监督管理总局（</w:t>
      </w:r>
      <w:r>
        <w:rPr>
          <w:rFonts w:hint="eastAsia" w:ascii="Times New Roman" w:hAnsi="Times New Roman" w:eastAsia="仿宋_GB2312" w:cs="Times New Roman"/>
          <w:sz w:val="32"/>
          <w:szCs w:val="32"/>
        </w:rPr>
        <w:t>以下简称“</w:t>
      </w:r>
      <w:r>
        <w:rPr>
          <w:rFonts w:ascii="Times New Roman" w:hAnsi="Times New Roman" w:eastAsia="仿宋_GB2312" w:cs="Times New Roman"/>
          <w:sz w:val="32"/>
          <w:szCs w:val="32"/>
        </w:rPr>
        <w:t>市场监管总局</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）提交以下附加限制性条件的承诺方案（</w:t>
      </w:r>
      <w:r>
        <w:rPr>
          <w:rFonts w:hint="eastAsia" w:ascii="Times New Roman" w:hAnsi="Times New Roman" w:eastAsia="仿宋_GB2312" w:cs="Times New Roman"/>
          <w:sz w:val="32"/>
          <w:szCs w:val="32"/>
        </w:rPr>
        <w:t>以下简称“承诺方案”</w:t>
      </w:r>
      <w:r>
        <w:rPr>
          <w:rFonts w:ascii="Times New Roman" w:hAnsi="Times New Roman" w:eastAsia="仿宋_GB2312" w:cs="Times New Roman"/>
          <w:sz w:val="32"/>
          <w:szCs w:val="32"/>
        </w:rPr>
        <w:t>）。</w:t>
      </w:r>
    </w:p>
    <w:p>
      <w:pPr>
        <w:widowControl/>
        <w:spacing w:after="120" w:line="360" w:lineRule="auto"/>
        <w:jc w:val="center"/>
        <w:rPr>
          <w:rFonts w:eastAsia="黑体" w:cs="Times New Roman"/>
          <w:bCs/>
          <w:sz w:val="32"/>
          <w:szCs w:val="32"/>
        </w:rPr>
      </w:pPr>
      <w:r>
        <w:rPr>
          <w:rFonts w:eastAsia="黑体"/>
          <w:bCs/>
          <w:sz w:val="32"/>
          <w:szCs w:val="32"/>
        </w:rPr>
        <w:t>第一部分</w:t>
      </w:r>
      <w:r>
        <w:rPr>
          <w:rFonts w:hint="eastAsia" w:eastAsia="黑体"/>
          <w:bCs/>
          <w:sz w:val="32"/>
          <w:szCs w:val="32"/>
        </w:rPr>
        <w:t xml:space="preserve"> </w:t>
      </w:r>
      <w:r>
        <w:rPr>
          <w:rFonts w:eastAsia="黑体" w:cs="Times New Roman"/>
          <w:bCs/>
          <w:sz w:val="32"/>
          <w:szCs w:val="32"/>
        </w:rPr>
        <w:t>定义</w:t>
      </w:r>
    </w:p>
    <w:p>
      <w:pPr>
        <w:pStyle w:val="14"/>
        <w:spacing w:after="120" w:line="360" w:lineRule="auto"/>
        <w:ind w:firstLine="640"/>
        <w:contextualSpacing/>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就承诺方案而言</w:t>
      </w:r>
      <w:r>
        <w:rPr>
          <w:rFonts w:ascii="Times New Roman" w:hAnsi="Times New Roman" w:eastAsia="仿宋_GB2312" w:cs="Times New Roman"/>
          <w:sz w:val="32"/>
          <w:szCs w:val="32"/>
        </w:rPr>
        <w:t>，以下术语定义如下：</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JX金属</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JX金属株式会社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一家于日本成立的公司，注册地址位于日本东京Okura Prestige Tower 10-4, Toranomon 2-chome, Minato-ku。</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拓自达</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拓自达电线株式会社</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一家于日本成立的公司，注册地址位于日本大阪府东大阪市2-3-1 Iwata-cho。</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集中后实体</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指本次交易完成后的</w:t>
      </w:r>
      <w:r>
        <w:rPr>
          <w:rFonts w:ascii="Times New Roman" w:hAnsi="Times New Roman" w:eastAsia="仿宋_GB2312" w:cs="Times New Roman"/>
          <w:sz w:val="32"/>
          <w:szCs w:val="32"/>
        </w:rPr>
        <w:t>JX</w:t>
      </w:r>
      <w:r>
        <w:rPr>
          <w:rFonts w:hint="eastAsia" w:ascii="Times New Roman" w:hAnsi="Times New Roman" w:eastAsia="仿宋_GB2312" w:cs="Times New Roman"/>
          <w:sz w:val="32"/>
          <w:szCs w:val="32"/>
        </w:rPr>
        <w:t>金属及其关联企业，包括在本次交易交割后承继</w:t>
      </w:r>
      <w:r>
        <w:rPr>
          <w:rFonts w:ascii="Times New Roman" w:hAnsi="Times New Roman" w:eastAsia="仿宋_GB2312" w:cs="Times New Roman"/>
          <w:sz w:val="32"/>
          <w:szCs w:val="32"/>
        </w:rPr>
        <w:t>JX</w:t>
      </w:r>
      <w:r>
        <w:rPr>
          <w:rFonts w:hint="eastAsia" w:ascii="Times New Roman" w:hAnsi="Times New Roman" w:eastAsia="仿宋_GB2312" w:cs="Times New Roman"/>
          <w:sz w:val="32"/>
          <w:szCs w:val="32"/>
        </w:rPr>
        <w:t>金属和</w:t>
      </w:r>
      <w:r>
        <w:rPr>
          <w:rFonts w:ascii="Times New Roman" w:hAnsi="Times New Roman" w:eastAsia="仿宋_GB2312" w:cs="Times New Roman"/>
          <w:sz w:val="32"/>
          <w:szCs w:val="32"/>
        </w:rPr>
        <w:t>拓自达</w:t>
      </w:r>
      <w:r>
        <w:rPr>
          <w:rFonts w:hint="eastAsia" w:ascii="Times New Roman" w:hAnsi="Times New Roman" w:eastAsia="仿宋_GB2312" w:cs="Times New Roman"/>
          <w:sz w:val="32"/>
          <w:szCs w:val="32"/>
        </w:rPr>
        <w:t>权利义务的任何法人实体。</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黑化</w:t>
      </w:r>
      <w:r>
        <w:rPr>
          <w:rFonts w:hint="eastAsia" w:ascii="Times New Roman" w:hAnsi="Times New Roman" w:eastAsia="仿宋_GB2312" w:cs="Times New Roman"/>
          <w:b/>
          <w:bCs/>
          <w:sz w:val="32"/>
          <w:szCs w:val="32"/>
        </w:rPr>
        <w:t>压延</w:t>
      </w:r>
      <w:r>
        <w:rPr>
          <w:rFonts w:ascii="Times New Roman" w:hAnsi="Times New Roman" w:eastAsia="仿宋_GB2312" w:cs="Times New Roman"/>
          <w:b/>
          <w:bCs/>
          <w:sz w:val="32"/>
          <w:szCs w:val="32"/>
        </w:rPr>
        <w:t>铜箔</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表面以黑色氧化物转化涂层或经黑化处理的</w:t>
      </w:r>
      <w:r>
        <w:rPr>
          <w:rFonts w:hint="eastAsia" w:ascii="Times New Roman" w:hAnsi="Times New Roman" w:eastAsia="仿宋_GB2312" w:cs="Times New Roman"/>
          <w:sz w:val="32"/>
          <w:szCs w:val="32"/>
        </w:rPr>
        <w:t>一种压延</w:t>
      </w:r>
      <w:r>
        <w:rPr>
          <w:rFonts w:ascii="Times New Roman" w:hAnsi="Times New Roman" w:eastAsia="仿宋_GB2312" w:cs="Times New Roman"/>
          <w:sz w:val="32"/>
          <w:szCs w:val="32"/>
        </w:rPr>
        <w:t>铜箔。</w:t>
      </w:r>
    </w:p>
    <w:p>
      <w:pPr>
        <w:pStyle w:val="14"/>
        <w:spacing w:after="120" w:line="360" w:lineRule="auto"/>
        <w:ind w:firstLine="640"/>
        <w:contextualSpacing/>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柔性电路板（Flexible</w:t>
      </w:r>
      <w:r>
        <w:rPr>
          <w:rFonts w:ascii="Times New Roman" w:hAnsi="Times New Roman" w:eastAsia="仿宋_GB2312" w:cs="Times New Roman"/>
          <w:b/>
          <w:bCs/>
          <w:sz w:val="32"/>
          <w:szCs w:val="32"/>
        </w:rPr>
        <w:t xml:space="preserve"> P</w:t>
      </w:r>
      <w:r>
        <w:rPr>
          <w:rFonts w:hint="eastAsia" w:ascii="Times New Roman" w:hAnsi="Times New Roman" w:eastAsia="仿宋_GB2312" w:cs="Times New Roman"/>
          <w:b/>
          <w:bCs/>
          <w:sz w:val="32"/>
          <w:szCs w:val="32"/>
        </w:rPr>
        <w:t>rinted</w:t>
      </w:r>
      <w:r>
        <w:rPr>
          <w:rFonts w:ascii="Times New Roman" w:hAnsi="Times New Roman" w:eastAsia="仿宋_GB2312" w:cs="Times New Roman"/>
          <w:b/>
          <w:bCs/>
          <w:sz w:val="32"/>
          <w:szCs w:val="32"/>
        </w:rPr>
        <w:t xml:space="preserve"> C</w:t>
      </w:r>
      <w:r>
        <w:rPr>
          <w:rFonts w:hint="eastAsia" w:ascii="Times New Roman" w:hAnsi="Times New Roman" w:eastAsia="仿宋_GB2312" w:cs="Times New Roman"/>
          <w:b/>
          <w:bCs/>
          <w:sz w:val="32"/>
          <w:szCs w:val="32"/>
        </w:rPr>
        <w:t>ircuit，简称“F</w:t>
      </w:r>
      <w:r>
        <w:rPr>
          <w:rFonts w:ascii="Times New Roman" w:hAnsi="Times New Roman" w:eastAsia="仿宋_GB2312" w:cs="Times New Roman"/>
          <w:b/>
          <w:bCs/>
          <w:sz w:val="32"/>
          <w:szCs w:val="32"/>
        </w:rPr>
        <w:t>PC</w:t>
      </w:r>
      <w:r>
        <w:rPr>
          <w:rFonts w:hint="eastAsia" w:ascii="Times New Roman" w:hAnsi="Times New Roman" w:eastAsia="仿宋_GB2312" w:cs="Times New Roman"/>
          <w:b/>
          <w:bCs/>
          <w:sz w:val="32"/>
          <w:szCs w:val="32"/>
        </w:rPr>
        <w:t>”）</w:t>
      </w:r>
      <w:r>
        <w:rPr>
          <w:rFonts w:ascii="Times New Roman" w:hAnsi="Times New Roman" w:eastAsia="仿宋_GB2312" w:cs="Times New Roman"/>
          <w:b/>
          <w:bCs/>
          <w:sz w:val="32"/>
          <w:szCs w:val="32"/>
        </w:rPr>
        <w:t>不锈钢补强板</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一种</w:t>
      </w:r>
      <w:r>
        <w:rPr>
          <w:rFonts w:hint="eastAsia" w:ascii="Times New Roman" w:hAnsi="Times New Roman" w:eastAsia="仿宋_GB2312" w:cs="Times New Roman"/>
          <w:sz w:val="32"/>
          <w:szCs w:val="32"/>
        </w:rPr>
        <w:t>用特定尺寸的</w:t>
      </w:r>
      <w:r>
        <w:rPr>
          <w:rFonts w:ascii="Times New Roman" w:hAnsi="Times New Roman" w:eastAsia="仿宋_GB2312" w:cs="Times New Roman"/>
          <w:sz w:val="32"/>
          <w:szCs w:val="32"/>
        </w:rPr>
        <w:t>不锈钢制成的</w:t>
      </w:r>
      <w:r>
        <w:rPr>
          <w:rFonts w:hint="eastAsia" w:ascii="Times New Roman" w:hAnsi="Times New Roman" w:eastAsia="仿宋_GB2312" w:cs="Times New Roman"/>
          <w:sz w:val="32"/>
          <w:szCs w:val="32"/>
        </w:rPr>
        <w:t>补强材料</w:t>
      </w:r>
      <w:r>
        <w:rPr>
          <w:rFonts w:ascii="Times New Roman" w:hAnsi="Times New Roman" w:eastAsia="仿宋_GB2312" w:cs="Times New Roman"/>
          <w:sz w:val="32"/>
          <w:szCs w:val="32"/>
        </w:rPr>
        <w:t>，通过导电胶固定在FPC关键位置上</w:t>
      </w:r>
      <w:r>
        <w:rPr>
          <w:rFonts w:hint="eastAsia" w:ascii="Times New Roman" w:hAnsi="Times New Roman" w:eastAsia="仿宋_GB2312" w:cs="Times New Roman"/>
          <w:sz w:val="32"/>
          <w:szCs w:val="32"/>
        </w:rPr>
        <w:t>，能够</w:t>
      </w:r>
      <w:r>
        <w:rPr>
          <w:rFonts w:ascii="Times New Roman" w:hAnsi="Times New Roman" w:eastAsia="仿宋_GB2312" w:cs="Times New Roman"/>
          <w:sz w:val="32"/>
          <w:szCs w:val="32"/>
        </w:rPr>
        <w:t>防止FPC在制造、组装和使用过程中关键区域</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过度弯曲、扭转或折叠</w:t>
      </w:r>
      <w:r>
        <w:rPr>
          <w:rFonts w:hint="eastAsia" w:ascii="Times New Roman" w:hAnsi="Times New Roman" w:eastAsia="仿宋_GB2312" w:cs="Times New Roman"/>
          <w:sz w:val="32"/>
          <w:szCs w:val="32"/>
        </w:rPr>
        <w:t>。</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电磁屏蔽膜</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一种通过抑制或衰减电磁辐射将电磁波限定在一定范围内的屏蔽体。</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各向同性导电胶膜</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一种</w:t>
      </w:r>
      <w:r>
        <w:rPr>
          <w:rFonts w:hint="eastAsia" w:ascii="Times New Roman" w:hAnsi="Times New Roman" w:eastAsia="仿宋_GB2312" w:cs="Times New Roman"/>
          <w:sz w:val="32"/>
          <w:szCs w:val="32"/>
        </w:rPr>
        <w:t>加热固化</w:t>
      </w:r>
      <w:r>
        <w:rPr>
          <w:rFonts w:ascii="Times New Roman" w:hAnsi="Times New Roman" w:eastAsia="仿宋_GB2312" w:cs="Times New Roman"/>
          <w:sz w:val="32"/>
          <w:szCs w:val="32"/>
        </w:rPr>
        <w:t>后具有一定导电性，且在XYZ方向上均能实现导电的胶粘剂。其主要用于连接FPC上的接地与补强板，加固接地效果</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也被称为FPC用导电胶膜。</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FPC组件</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黑化</w:t>
      </w:r>
      <w:r>
        <w:rPr>
          <w:rFonts w:hint="eastAsia" w:ascii="Times New Roman" w:hAnsi="Times New Roman" w:eastAsia="仿宋_GB2312" w:cs="Times New Roman"/>
          <w:sz w:val="32"/>
          <w:szCs w:val="32"/>
        </w:rPr>
        <w:t>压延</w:t>
      </w:r>
      <w:r>
        <w:rPr>
          <w:rFonts w:ascii="Times New Roman" w:hAnsi="Times New Roman" w:eastAsia="仿宋_GB2312" w:cs="Times New Roman"/>
          <w:sz w:val="32"/>
          <w:szCs w:val="32"/>
        </w:rPr>
        <w:t>铜箔、FPC不锈钢补强板、电磁屏蔽膜和各向同性导电胶膜。</w:t>
      </w:r>
    </w:p>
    <w:p>
      <w:pPr>
        <w:pStyle w:val="14"/>
        <w:spacing w:after="120" w:line="360" w:lineRule="auto"/>
        <w:ind w:firstLine="640"/>
        <w:contextualSpacing/>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J</w:t>
      </w:r>
      <w:r>
        <w:rPr>
          <w:rFonts w:ascii="Times New Roman" w:hAnsi="Times New Roman" w:eastAsia="仿宋_GB2312" w:cs="Times New Roman"/>
          <w:b/>
          <w:bCs/>
          <w:sz w:val="32"/>
          <w:szCs w:val="32"/>
        </w:rPr>
        <w:t>X</w:t>
      </w:r>
      <w:r>
        <w:rPr>
          <w:rFonts w:hint="eastAsia" w:ascii="Times New Roman" w:hAnsi="Times New Roman" w:eastAsia="仿宋_GB2312" w:cs="Times New Roman"/>
          <w:b/>
          <w:bCs/>
          <w:sz w:val="32"/>
          <w:szCs w:val="32"/>
        </w:rPr>
        <w:t>金属的F</w:t>
      </w:r>
      <w:r>
        <w:rPr>
          <w:rFonts w:ascii="Times New Roman" w:hAnsi="Times New Roman" w:eastAsia="仿宋_GB2312" w:cs="Times New Roman"/>
          <w:b/>
          <w:bCs/>
          <w:sz w:val="32"/>
          <w:szCs w:val="32"/>
        </w:rPr>
        <w:t>PC</w:t>
      </w:r>
      <w:r>
        <w:rPr>
          <w:rFonts w:hint="eastAsia" w:ascii="Times New Roman" w:hAnsi="Times New Roman" w:eastAsia="仿宋_GB2312" w:cs="Times New Roman"/>
          <w:b/>
          <w:bCs/>
          <w:sz w:val="32"/>
          <w:szCs w:val="32"/>
        </w:rPr>
        <w:t>组件</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由</w:t>
      </w:r>
      <w:r>
        <w:rPr>
          <w:rFonts w:hint="eastAsia" w:ascii="Times New Roman" w:hAnsi="Times New Roman" w:eastAsia="仿宋_GB2312" w:cs="Times New Roman"/>
          <w:sz w:val="32"/>
          <w:szCs w:val="32"/>
        </w:rPr>
        <w:t>J</w:t>
      </w:r>
      <w:r>
        <w:rPr>
          <w:rFonts w:ascii="Times New Roman" w:hAnsi="Times New Roman" w:eastAsia="仿宋_GB2312" w:cs="Times New Roman"/>
          <w:sz w:val="32"/>
          <w:szCs w:val="32"/>
        </w:rPr>
        <w:t>X</w:t>
      </w:r>
      <w:r>
        <w:rPr>
          <w:rFonts w:hint="eastAsia" w:ascii="Times New Roman" w:hAnsi="Times New Roman" w:eastAsia="仿宋_GB2312" w:cs="Times New Roman"/>
          <w:sz w:val="32"/>
          <w:szCs w:val="32"/>
        </w:rPr>
        <w:t>金属</w:t>
      </w:r>
      <w:r>
        <w:rPr>
          <w:rFonts w:ascii="Times New Roman" w:hAnsi="Times New Roman" w:eastAsia="仿宋_GB2312" w:cs="Times New Roman"/>
          <w:sz w:val="32"/>
          <w:szCs w:val="32"/>
        </w:rPr>
        <w:t>开发制造的</w:t>
      </w:r>
      <w:r>
        <w:rPr>
          <w:rFonts w:hint="eastAsia" w:ascii="Times New Roman" w:hAnsi="Times New Roman" w:eastAsia="仿宋_GB2312" w:cs="Times New Roman"/>
          <w:sz w:val="32"/>
          <w:szCs w:val="32"/>
        </w:rPr>
        <w:t>黑化压延铜箔和/或</w:t>
      </w:r>
      <w:r>
        <w:rPr>
          <w:rFonts w:ascii="Times New Roman" w:hAnsi="Times New Roman" w:eastAsia="仿宋_GB2312" w:cs="Times New Roman"/>
          <w:sz w:val="32"/>
          <w:szCs w:val="32"/>
        </w:rPr>
        <w:t>FPC不锈钢补强板</w:t>
      </w:r>
      <w:r>
        <w:rPr>
          <w:rFonts w:hint="eastAsia" w:ascii="Times New Roman" w:hAnsi="Times New Roman" w:eastAsia="仿宋_GB2312" w:cs="Times New Roman"/>
          <w:sz w:val="32"/>
          <w:szCs w:val="32"/>
        </w:rPr>
        <w:t>。</w:t>
      </w:r>
    </w:p>
    <w:p>
      <w:pPr>
        <w:pStyle w:val="14"/>
        <w:spacing w:after="120" w:line="360" w:lineRule="auto"/>
        <w:ind w:firstLine="640"/>
        <w:contextualSpacing/>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拓自达的F</w:t>
      </w:r>
      <w:r>
        <w:rPr>
          <w:rFonts w:ascii="Times New Roman" w:hAnsi="Times New Roman" w:eastAsia="仿宋_GB2312" w:cs="Times New Roman"/>
          <w:b/>
          <w:bCs/>
          <w:sz w:val="32"/>
          <w:szCs w:val="32"/>
        </w:rPr>
        <w:t>PC</w:t>
      </w:r>
      <w:r>
        <w:rPr>
          <w:rFonts w:hint="eastAsia" w:ascii="Times New Roman" w:hAnsi="Times New Roman" w:eastAsia="仿宋_GB2312" w:cs="Times New Roman"/>
          <w:b/>
          <w:bCs/>
          <w:sz w:val="32"/>
          <w:szCs w:val="32"/>
        </w:rPr>
        <w:t>组件</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由</w:t>
      </w:r>
      <w:r>
        <w:rPr>
          <w:rFonts w:hint="eastAsia" w:ascii="Times New Roman" w:hAnsi="Times New Roman" w:eastAsia="仿宋_GB2312" w:cs="Times New Roman"/>
          <w:sz w:val="32"/>
          <w:szCs w:val="32"/>
        </w:rPr>
        <w:t>拓自达</w:t>
      </w:r>
      <w:r>
        <w:rPr>
          <w:rFonts w:ascii="Times New Roman" w:hAnsi="Times New Roman" w:eastAsia="仿宋_GB2312" w:cs="Times New Roman"/>
          <w:sz w:val="32"/>
          <w:szCs w:val="32"/>
        </w:rPr>
        <w:t>开发制造的各向同性导电胶膜和</w:t>
      </w:r>
      <w:r>
        <w:rPr>
          <w:rFonts w:hint="eastAsia" w:ascii="Times New Roman" w:hAnsi="Times New Roman" w:eastAsia="仿宋_GB2312" w:cs="Times New Roman"/>
          <w:sz w:val="32"/>
          <w:szCs w:val="32"/>
        </w:rPr>
        <w:t>/或</w:t>
      </w:r>
      <w:r>
        <w:rPr>
          <w:rFonts w:ascii="Times New Roman" w:hAnsi="Times New Roman" w:eastAsia="仿宋_GB2312" w:cs="Times New Roman"/>
          <w:sz w:val="32"/>
          <w:szCs w:val="32"/>
        </w:rPr>
        <w:t>电磁屏蔽膜</w:t>
      </w:r>
      <w:r>
        <w:rPr>
          <w:rFonts w:hint="eastAsia" w:ascii="Times New Roman" w:hAnsi="Times New Roman" w:eastAsia="仿宋_GB2312" w:cs="Times New Roman"/>
          <w:sz w:val="32"/>
          <w:szCs w:val="32"/>
        </w:rPr>
        <w:t>。</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集中后实体的FPC组件</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w:t>
      </w:r>
      <w:r>
        <w:rPr>
          <w:rFonts w:ascii="Times New Roman" w:hAnsi="Times New Roman" w:eastAsia="仿宋_GB2312" w:cs="Times New Roman"/>
          <w:sz w:val="32"/>
          <w:szCs w:val="32"/>
        </w:rPr>
        <w:t>由集中后实体开发制造的FPC组件。</w:t>
      </w:r>
    </w:p>
    <w:p>
      <w:pPr>
        <w:pStyle w:val="14"/>
        <w:spacing w:after="120" w:line="360" w:lineRule="auto"/>
        <w:ind w:firstLine="640"/>
        <w:contextualSpacing/>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合作伙伴</w:t>
      </w:r>
      <w:r>
        <w:rPr>
          <w:rFonts w:hint="eastAsia" w:ascii="Times New Roman" w:hAnsi="Times New Roman" w:eastAsia="仿宋_GB2312" w:cs="Times New Roman"/>
          <w:sz w:val="32"/>
          <w:szCs w:val="32"/>
        </w:rPr>
        <w:t>：指并非J</w:t>
      </w:r>
      <w:r>
        <w:rPr>
          <w:rFonts w:ascii="Times New Roman" w:hAnsi="Times New Roman" w:eastAsia="仿宋_GB2312" w:cs="Times New Roman"/>
          <w:sz w:val="32"/>
          <w:szCs w:val="32"/>
        </w:rPr>
        <w:t>X</w:t>
      </w:r>
      <w:r>
        <w:rPr>
          <w:rFonts w:hint="eastAsia" w:ascii="Times New Roman" w:hAnsi="Times New Roman" w:eastAsia="仿宋_GB2312" w:cs="Times New Roman"/>
          <w:sz w:val="32"/>
          <w:szCs w:val="32"/>
        </w:rPr>
        <w:t>金属</w:t>
      </w:r>
      <w:r>
        <w:rPr>
          <w:rFonts w:ascii="Times New Roman" w:hAnsi="Times New Roman" w:eastAsia="仿宋_GB2312" w:cs="Times New Roman"/>
          <w:sz w:val="32"/>
          <w:szCs w:val="32"/>
        </w:rPr>
        <w:t>和/或</w:t>
      </w:r>
      <w:r>
        <w:rPr>
          <w:rFonts w:hint="eastAsia" w:ascii="Times New Roman" w:hAnsi="Times New Roman" w:eastAsia="仿宋_GB2312" w:cs="Times New Roman"/>
          <w:sz w:val="32"/>
          <w:szCs w:val="32"/>
        </w:rPr>
        <w:t>拓自达</w:t>
      </w:r>
      <w:r>
        <w:rPr>
          <w:rFonts w:ascii="Times New Roman" w:hAnsi="Times New Roman" w:eastAsia="仿宋_GB2312" w:cs="Times New Roman"/>
          <w:sz w:val="32"/>
          <w:szCs w:val="32"/>
        </w:rPr>
        <w:t>提供的FPC</w:t>
      </w:r>
      <w:r>
        <w:rPr>
          <w:rFonts w:hint="eastAsia" w:ascii="Times New Roman" w:hAnsi="Times New Roman" w:eastAsia="仿宋_GB2312" w:cs="Times New Roman"/>
          <w:sz w:val="32"/>
          <w:szCs w:val="32"/>
        </w:rPr>
        <w:t>组件</w:t>
      </w:r>
      <w:r>
        <w:rPr>
          <w:rFonts w:ascii="Times New Roman" w:hAnsi="Times New Roman" w:eastAsia="仿宋_GB2312" w:cs="Times New Roman"/>
          <w:sz w:val="32"/>
          <w:szCs w:val="32"/>
        </w:rPr>
        <w:t>的</w:t>
      </w:r>
      <w:r>
        <w:rPr>
          <w:rFonts w:hint="eastAsia" w:ascii="Times New Roman" w:hAnsi="Times New Roman" w:eastAsia="仿宋_GB2312" w:cs="Times New Roman"/>
          <w:sz w:val="32"/>
          <w:szCs w:val="32"/>
        </w:rPr>
        <w:t>直接</w:t>
      </w:r>
      <w:r>
        <w:rPr>
          <w:rFonts w:ascii="Times New Roman" w:hAnsi="Times New Roman" w:eastAsia="仿宋_GB2312" w:cs="Times New Roman"/>
          <w:sz w:val="32"/>
          <w:szCs w:val="32"/>
        </w:rPr>
        <w:t>客户，但可能影响</w:t>
      </w:r>
      <w:r>
        <w:rPr>
          <w:rFonts w:hint="eastAsia" w:ascii="Times New Roman" w:hAnsi="Times New Roman" w:eastAsia="仿宋_GB2312" w:cs="Times New Roman"/>
          <w:sz w:val="32"/>
          <w:szCs w:val="32"/>
        </w:rPr>
        <w:t>直接</w:t>
      </w:r>
      <w:r>
        <w:rPr>
          <w:rFonts w:ascii="Times New Roman" w:hAnsi="Times New Roman" w:eastAsia="仿宋_GB2312" w:cs="Times New Roman"/>
          <w:sz w:val="32"/>
          <w:szCs w:val="32"/>
        </w:rPr>
        <w:t>客户</w:t>
      </w:r>
      <w:r>
        <w:rPr>
          <w:rFonts w:hint="eastAsia" w:ascii="Times New Roman" w:hAnsi="Times New Roman" w:eastAsia="仿宋_GB2312" w:cs="Times New Roman"/>
          <w:sz w:val="32"/>
          <w:szCs w:val="32"/>
        </w:rPr>
        <w:t>对</w:t>
      </w:r>
      <w:r>
        <w:rPr>
          <w:rFonts w:ascii="Times New Roman" w:hAnsi="Times New Roman" w:eastAsia="仿宋_GB2312" w:cs="Times New Roman"/>
          <w:sz w:val="32"/>
          <w:szCs w:val="32"/>
        </w:rPr>
        <w:t>FPC</w:t>
      </w:r>
      <w:r>
        <w:rPr>
          <w:rFonts w:hint="eastAsia" w:ascii="Times New Roman" w:hAnsi="Times New Roman" w:eastAsia="仿宋_GB2312" w:cs="Times New Roman"/>
          <w:sz w:val="32"/>
          <w:szCs w:val="32"/>
        </w:rPr>
        <w:t>组件</w:t>
      </w:r>
      <w:r>
        <w:rPr>
          <w:rFonts w:ascii="Times New Roman" w:hAnsi="Times New Roman" w:eastAsia="仿宋_GB2312" w:cs="Times New Roman"/>
          <w:sz w:val="32"/>
          <w:szCs w:val="32"/>
        </w:rPr>
        <w:t>采购的第三方</w:t>
      </w:r>
      <w:r>
        <w:rPr>
          <w:rFonts w:hint="eastAsia" w:ascii="Times New Roman" w:hAnsi="Times New Roman" w:eastAsia="仿宋_GB2312" w:cs="Times New Roman"/>
          <w:sz w:val="32"/>
          <w:szCs w:val="32"/>
        </w:rPr>
        <w:t>（包括可能影响到其中国境内采购决策的境外第三方）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例如消费电子产品的原始设备制造商，其产品所使用的F</w:t>
      </w:r>
      <w:r>
        <w:rPr>
          <w:rFonts w:ascii="Times New Roman" w:hAnsi="Times New Roman" w:eastAsia="仿宋_GB2312" w:cs="Times New Roman"/>
          <w:sz w:val="32"/>
          <w:szCs w:val="32"/>
        </w:rPr>
        <w:t>PC</w:t>
      </w:r>
      <w:r>
        <w:rPr>
          <w:rFonts w:hint="eastAsia" w:ascii="Times New Roman" w:hAnsi="Times New Roman" w:eastAsia="仿宋_GB2312" w:cs="Times New Roman"/>
          <w:sz w:val="32"/>
          <w:szCs w:val="32"/>
        </w:rPr>
        <w:t>含有J</w:t>
      </w:r>
      <w:r>
        <w:rPr>
          <w:rFonts w:ascii="Times New Roman" w:hAnsi="Times New Roman" w:eastAsia="仿宋_GB2312" w:cs="Times New Roman"/>
          <w:sz w:val="32"/>
          <w:szCs w:val="32"/>
        </w:rPr>
        <w:t>X</w:t>
      </w:r>
      <w:r>
        <w:rPr>
          <w:rFonts w:hint="eastAsia" w:ascii="Times New Roman" w:hAnsi="Times New Roman" w:eastAsia="仿宋_GB2312" w:cs="Times New Roman"/>
          <w:sz w:val="32"/>
          <w:szCs w:val="32"/>
        </w:rPr>
        <w:t>金属和/或拓自达提供的F</w:t>
      </w:r>
      <w:r>
        <w:rPr>
          <w:rFonts w:ascii="Times New Roman" w:hAnsi="Times New Roman" w:eastAsia="仿宋_GB2312" w:cs="Times New Roman"/>
          <w:sz w:val="32"/>
          <w:szCs w:val="32"/>
        </w:rPr>
        <w:t>PC</w:t>
      </w:r>
      <w:r>
        <w:rPr>
          <w:rFonts w:hint="eastAsia" w:ascii="Times New Roman" w:hAnsi="Times New Roman" w:eastAsia="仿宋_GB2312" w:cs="Times New Roman"/>
          <w:sz w:val="32"/>
          <w:szCs w:val="32"/>
        </w:rPr>
        <w:t>组件。</w:t>
      </w:r>
    </w:p>
    <w:p>
      <w:pPr>
        <w:pStyle w:val="14"/>
        <w:spacing w:after="120" w:line="360" w:lineRule="auto"/>
        <w:ind w:firstLine="640"/>
        <w:contextualSpacing/>
        <w:rPr>
          <w:rFonts w:ascii="Times New Roman" w:hAnsi="Times New Roman" w:eastAsia="仿宋_GB2312" w:cs="Times New Roman"/>
          <w:sz w:val="32"/>
          <w:szCs w:val="32"/>
        </w:rPr>
      </w:pPr>
      <w:r>
        <w:rPr>
          <w:rFonts w:hint="eastAsia" w:ascii="Times New Roman" w:hAnsi="Times New Roman" w:eastAsia="仿宋_GB2312" w:cs="Times New Roman"/>
          <w:b/>
          <w:bCs/>
          <w:sz w:val="32"/>
          <w:szCs w:val="32"/>
        </w:rPr>
        <w:t>中国客户</w:t>
      </w:r>
      <w:r>
        <w:rPr>
          <w:rFonts w:hint="eastAsia" w:ascii="Times New Roman" w:hAnsi="Times New Roman" w:eastAsia="仿宋_GB2312" w:cs="Times New Roman"/>
          <w:sz w:val="32"/>
          <w:szCs w:val="32"/>
        </w:rPr>
        <w:t>：总部位于中国境内的企业，和向交易方及集中后实体或其经销商直接采购的、总部位于中国境外企业的中国境内子公司。</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监督受托人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指符合《</w:t>
      </w:r>
      <w:r>
        <w:rPr>
          <w:rFonts w:ascii="Times New Roman" w:hAnsi="Times New Roman" w:eastAsia="仿宋_GB2312" w:cs="Times New Roman"/>
          <w:sz w:val="32"/>
          <w:szCs w:val="32"/>
        </w:rPr>
        <w:t>经营者集中审查规定</w:t>
      </w:r>
      <w:r>
        <w:rPr>
          <w:rFonts w:hint="eastAsia" w:ascii="Times New Roman" w:hAnsi="Times New Roman" w:eastAsia="仿宋_GB2312" w:cs="Times New Roman"/>
          <w:sz w:val="32"/>
          <w:szCs w:val="32"/>
        </w:rPr>
        <w:t>》第四十四</w:t>
      </w:r>
      <w:r>
        <w:rPr>
          <w:rFonts w:ascii="Times New Roman" w:hAnsi="Times New Roman" w:eastAsia="仿宋_GB2312" w:cs="Times New Roman"/>
          <w:sz w:val="32"/>
          <w:szCs w:val="32"/>
        </w:rPr>
        <w:t>条</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rPr>
        <w:t>由</w:t>
      </w:r>
      <w:r>
        <w:rPr>
          <w:rFonts w:ascii="Times New Roman" w:hAnsi="Times New Roman" w:eastAsia="仿宋_GB2312" w:cs="Times New Roman"/>
          <w:sz w:val="32"/>
          <w:szCs w:val="32"/>
        </w:rPr>
        <w:t>交易方及集中后实体委托并经市场监管总局</w:t>
      </w:r>
      <w:r>
        <w:rPr>
          <w:rFonts w:hint="eastAsia" w:ascii="Times New Roman" w:hAnsi="Times New Roman" w:eastAsia="仿宋_GB2312" w:cs="Times New Roman"/>
          <w:sz w:val="32"/>
          <w:szCs w:val="32"/>
        </w:rPr>
        <w:t>评估确定</w:t>
      </w:r>
      <w:r>
        <w:rPr>
          <w:rFonts w:ascii="Times New Roman" w:hAnsi="Times New Roman" w:eastAsia="仿宋_GB2312" w:cs="Times New Roman"/>
          <w:sz w:val="32"/>
          <w:szCs w:val="32"/>
        </w:rPr>
        <w:t>，负责对交易方及集中后实体</w:t>
      </w:r>
      <w:r>
        <w:rPr>
          <w:rFonts w:hint="eastAsia" w:ascii="Times New Roman" w:hAnsi="Times New Roman" w:eastAsia="仿宋_GB2312" w:cs="Times New Roman"/>
          <w:sz w:val="32"/>
          <w:szCs w:val="32"/>
        </w:rPr>
        <w:t>实施</w:t>
      </w:r>
      <w:r>
        <w:rPr>
          <w:rFonts w:ascii="Times New Roman" w:hAnsi="Times New Roman" w:eastAsia="仿宋_GB2312" w:cs="Times New Roman"/>
          <w:sz w:val="32"/>
          <w:szCs w:val="32"/>
        </w:rPr>
        <w:t>限制性条件进行监督并向市场监管总局报告的自然人、法人或其他组织。</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决定</w:t>
      </w:r>
      <w:r>
        <w:rPr>
          <w:rFonts w:ascii="Times New Roman" w:hAnsi="Times New Roman" w:eastAsia="仿宋_GB2312" w:cs="Times New Roman"/>
          <w:sz w:val="32"/>
          <w:szCs w:val="32"/>
        </w:rPr>
        <w:t>：市场监管总局附加限制性条件批准本次交易的决定。</w:t>
      </w:r>
    </w:p>
    <w:p>
      <w:pPr>
        <w:pStyle w:val="14"/>
        <w:spacing w:after="120" w:line="360" w:lineRule="auto"/>
        <w:ind w:firstLine="640"/>
        <w:contextualSpacing/>
        <w:rPr>
          <w:rFonts w:ascii="Times New Roman" w:hAnsi="Times New Roman" w:eastAsia="仿宋_GB2312" w:cs="Times New Roman"/>
          <w:sz w:val="32"/>
          <w:szCs w:val="32"/>
        </w:rPr>
      </w:pPr>
      <w:r>
        <w:rPr>
          <w:rFonts w:ascii="Times New Roman" w:hAnsi="Times New Roman" w:eastAsia="仿宋_GB2312" w:cs="Times New Roman"/>
          <w:b/>
          <w:bCs/>
          <w:sz w:val="32"/>
          <w:szCs w:val="32"/>
        </w:rPr>
        <w:t>生效日</w:t>
      </w:r>
      <w:r>
        <w:rPr>
          <w:rFonts w:ascii="Times New Roman" w:hAnsi="Times New Roman" w:eastAsia="仿宋_GB2312" w:cs="Times New Roman"/>
          <w:sz w:val="32"/>
          <w:szCs w:val="32"/>
        </w:rPr>
        <w:t>：市场监管总局审查决定生效的日期。</w:t>
      </w:r>
    </w:p>
    <w:p>
      <w:pPr>
        <w:pStyle w:val="14"/>
        <w:spacing w:after="120" w:line="360" w:lineRule="auto"/>
        <w:ind w:firstLine="640"/>
        <w:contextualSpacing/>
        <w:rPr>
          <w:rFonts w:ascii="Times New Roman" w:hAnsi="Times New Roman" w:eastAsia="仿宋_GB2312" w:cs="Times New Roman"/>
          <w:bCs/>
          <w:sz w:val="32"/>
          <w:szCs w:val="32"/>
        </w:rPr>
      </w:pPr>
    </w:p>
    <w:p>
      <w:pPr>
        <w:widowControl/>
        <w:spacing w:after="120" w:line="360" w:lineRule="auto"/>
        <w:jc w:val="center"/>
        <w:rPr>
          <w:rFonts w:eastAsia="黑体" w:cs="Times New Roman"/>
          <w:bCs/>
          <w:sz w:val="32"/>
          <w:szCs w:val="32"/>
        </w:rPr>
      </w:pPr>
      <w:r>
        <w:rPr>
          <w:rFonts w:eastAsia="黑体"/>
          <w:bCs/>
          <w:sz w:val="32"/>
          <w:szCs w:val="32"/>
        </w:rPr>
        <w:t>第二部分</w:t>
      </w:r>
      <w:r>
        <w:rPr>
          <w:rFonts w:hint="eastAsia" w:eastAsia="黑体"/>
          <w:bCs/>
          <w:sz w:val="32"/>
          <w:szCs w:val="32"/>
        </w:rPr>
        <w:t xml:space="preserve"> </w:t>
      </w:r>
      <w:r>
        <w:rPr>
          <w:rFonts w:eastAsia="黑体" w:cs="Times New Roman"/>
          <w:bCs/>
          <w:sz w:val="32"/>
          <w:szCs w:val="32"/>
        </w:rPr>
        <w:t>限制性条件</w:t>
      </w:r>
    </w:p>
    <w:p>
      <w:pPr>
        <w:pStyle w:val="14"/>
        <w:widowControl/>
        <w:numPr>
          <w:ilvl w:val="0"/>
          <w:numId w:val="1"/>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向中国客户销售集中后实体的F</w:t>
      </w:r>
      <w:r>
        <w:rPr>
          <w:rFonts w:ascii="Times New Roman" w:hAnsi="Times New Roman" w:eastAsia="仿宋_GB2312" w:cs="Times New Roman"/>
          <w:kern w:val="0"/>
          <w:sz w:val="32"/>
          <w:szCs w:val="32"/>
        </w:rPr>
        <w:t>PC</w:t>
      </w:r>
      <w:r>
        <w:rPr>
          <w:rFonts w:hint="eastAsia" w:ascii="Times New Roman" w:hAnsi="Times New Roman" w:eastAsia="仿宋_GB2312" w:cs="Times New Roman"/>
          <w:kern w:val="0"/>
          <w:sz w:val="32"/>
          <w:szCs w:val="32"/>
        </w:rPr>
        <w:t>组件时，交易方及集中后实体，没有正当理由，不得自行且不得要求其经销商：</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1</w:t>
      </w:r>
      <w:r>
        <w:rPr>
          <w:rFonts w:hint="eastAsia" w:ascii="Times New Roman" w:hAnsi="Times New Roman" w:eastAsia="仿宋_GB2312" w:cs="Times New Roman"/>
          <w:kern w:val="0"/>
          <w:sz w:val="32"/>
          <w:szCs w:val="32"/>
        </w:rPr>
        <w:t>）将J</w:t>
      </w:r>
      <w:r>
        <w:rPr>
          <w:rFonts w:ascii="Times New Roman" w:hAnsi="Times New Roman" w:eastAsia="仿宋_GB2312" w:cs="Times New Roman"/>
          <w:kern w:val="0"/>
          <w:sz w:val="32"/>
          <w:szCs w:val="32"/>
        </w:rPr>
        <w:t>X</w:t>
      </w:r>
      <w:r>
        <w:rPr>
          <w:rFonts w:hint="eastAsia" w:ascii="Times New Roman" w:hAnsi="Times New Roman" w:eastAsia="仿宋_GB2312" w:cs="Times New Roman"/>
          <w:kern w:val="0"/>
          <w:sz w:val="32"/>
          <w:szCs w:val="32"/>
        </w:rPr>
        <w:t>金属的F</w:t>
      </w:r>
      <w:r>
        <w:rPr>
          <w:rFonts w:ascii="Times New Roman" w:hAnsi="Times New Roman" w:eastAsia="仿宋_GB2312" w:cs="Times New Roman"/>
          <w:kern w:val="0"/>
          <w:sz w:val="32"/>
          <w:szCs w:val="32"/>
        </w:rPr>
        <w:t>PC</w:t>
      </w:r>
      <w:r>
        <w:rPr>
          <w:rFonts w:hint="eastAsia" w:ascii="Times New Roman" w:hAnsi="Times New Roman" w:eastAsia="仿宋_GB2312" w:cs="Times New Roman"/>
          <w:kern w:val="0"/>
          <w:sz w:val="32"/>
          <w:szCs w:val="32"/>
        </w:rPr>
        <w:t>组件与拓自达的F</w:t>
      </w:r>
      <w:r>
        <w:rPr>
          <w:rFonts w:ascii="Times New Roman" w:hAnsi="Times New Roman" w:eastAsia="仿宋_GB2312" w:cs="Times New Roman"/>
          <w:kern w:val="0"/>
          <w:sz w:val="32"/>
          <w:szCs w:val="32"/>
        </w:rPr>
        <w:t>PC</w:t>
      </w:r>
      <w:r>
        <w:rPr>
          <w:rFonts w:hint="eastAsia" w:ascii="Times New Roman" w:hAnsi="Times New Roman" w:eastAsia="仿宋_GB2312" w:cs="Times New Roman"/>
          <w:kern w:val="0"/>
          <w:sz w:val="32"/>
          <w:szCs w:val="32"/>
        </w:rPr>
        <w:t>组件进行搭售，或施加其他不合理的交易条件。为免异义，交易方</w:t>
      </w:r>
      <w:r>
        <w:rPr>
          <w:rFonts w:ascii="Times New Roman" w:hAnsi="Times New Roman" w:eastAsia="仿宋_GB2312" w:cs="Times New Roman"/>
          <w:kern w:val="0"/>
          <w:sz w:val="32"/>
          <w:szCs w:val="32"/>
        </w:rPr>
        <w:t>向同一客户销售</w:t>
      </w:r>
      <w:r>
        <w:rPr>
          <w:rFonts w:hint="eastAsia" w:ascii="Times New Roman" w:hAnsi="Times New Roman" w:eastAsia="仿宋_GB2312" w:cs="Times New Roman"/>
          <w:kern w:val="0"/>
          <w:sz w:val="32"/>
          <w:szCs w:val="32"/>
        </w:rPr>
        <w:t>不同的</w:t>
      </w:r>
      <w:r>
        <w:rPr>
          <w:rFonts w:ascii="Times New Roman" w:hAnsi="Times New Roman" w:eastAsia="仿宋_GB2312" w:cs="Times New Roman"/>
          <w:kern w:val="0"/>
          <w:sz w:val="32"/>
          <w:szCs w:val="32"/>
        </w:rPr>
        <w:t>FPC组件</w:t>
      </w:r>
      <w:r>
        <w:rPr>
          <w:rFonts w:hint="eastAsia" w:ascii="Times New Roman" w:hAnsi="Times New Roman" w:eastAsia="仿宋_GB2312" w:cs="Times New Roman"/>
          <w:kern w:val="0"/>
          <w:sz w:val="32"/>
          <w:szCs w:val="32"/>
        </w:rPr>
        <w:t>但并未施加任何限制行为的情形</w:t>
      </w:r>
      <w:r>
        <w:rPr>
          <w:rFonts w:ascii="Times New Roman" w:hAnsi="Times New Roman" w:eastAsia="仿宋_GB2312" w:cs="Times New Roman"/>
          <w:kern w:val="0"/>
          <w:sz w:val="32"/>
          <w:szCs w:val="32"/>
        </w:rPr>
        <w:t>不构成搭售。</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（2）阻碍或限制（例如，通过给予折扣诱导）中国客户单独购买或使用J</w:t>
      </w:r>
      <w:r>
        <w:rPr>
          <w:rFonts w:ascii="Times New Roman" w:hAnsi="Times New Roman" w:eastAsia="仿宋_GB2312" w:cs="Times New Roman"/>
          <w:kern w:val="0"/>
          <w:sz w:val="32"/>
          <w:szCs w:val="32"/>
        </w:rPr>
        <w:t>X</w:t>
      </w:r>
      <w:r>
        <w:rPr>
          <w:rFonts w:hint="eastAsia" w:ascii="Times New Roman" w:hAnsi="Times New Roman" w:eastAsia="仿宋_GB2312" w:cs="Times New Roman"/>
          <w:kern w:val="0"/>
          <w:sz w:val="32"/>
          <w:szCs w:val="32"/>
        </w:rPr>
        <w:t>金属的F</w:t>
      </w:r>
      <w:r>
        <w:rPr>
          <w:rFonts w:ascii="Times New Roman" w:hAnsi="Times New Roman" w:eastAsia="仿宋_GB2312" w:cs="Times New Roman"/>
          <w:kern w:val="0"/>
          <w:sz w:val="32"/>
          <w:szCs w:val="32"/>
        </w:rPr>
        <w:t>PC</w:t>
      </w:r>
      <w:r>
        <w:rPr>
          <w:rFonts w:hint="eastAsia" w:ascii="Times New Roman" w:hAnsi="Times New Roman" w:eastAsia="仿宋_GB2312" w:cs="Times New Roman"/>
          <w:kern w:val="0"/>
          <w:sz w:val="32"/>
          <w:szCs w:val="32"/>
        </w:rPr>
        <w:t>组件和拓自达的F</w:t>
      </w:r>
      <w:r>
        <w:rPr>
          <w:rFonts w:ascii="Times New Roman" w:hAnsi="Times New Roman" w:eastAsia="仿宋_GB2312" w:cs="Times New Roman"/>
          <w:kern w:val="0"/>
          <w:sz w:val="32"/>
          <w:szCs w:val="32"/>
        </w:rPr>
        <w:t>PC</w:t>
      </w:r>
      <w:r>
        <w:rPr>
          <w:rFonts w:hint="eastAsia" w:ascii="Times New Roman" w:hAnsi="Times New Roman" w:eastAsia="仿宋_GB2312" w:cs="Times New Roman"/>
          <w:kern w:val="0"/>
          <w:sz w:val="32"/>
          <w:szCs w:val="32"/>
        </w:rPr>
        <w:t>组件；</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（3）在价格、质量、数量、交货时间、售后服务等商业条款方面歧视单独购买J</w:t>
      </w:r>
      <w:r>
        <w:rPr>
          <w:rFonts w:ascii="Times New Roman" w:hAnsi="Times New Roman" w:eastAsia="仿宋_GB2312" w:cs="Times New Roman"/>
          <w:kern w:val="0"/>
          <w:sz w:val="32"/>
          <w:szCs w:val="32"/>
        </w:rPr>
        <w:t>X</w:t>
      </w:r>
      <w:r>
        <w:rPr>
          <w:rFonts w:hint="eastAsia" w:ascii="Times New Roman" w:hAnsi="Times New Roman" w:eastAsia="仿宋_GB2312" w:cs="Times New Roman"/>
          <w:kern w:val="0"/>
          <w:sz w:val="32"/>
          <w:szCs w:val="32"/>
        </w:rPr>
        <w:t>金属的F</w:t>
      </w:r>
      <w:r>
        <w:rPr>
          <w:rFonts w:ascii="Times New Roman" w:hAnsi="Times New Roman" w:eastAsia="仿宋_GB2312" w:cs="Times New Roman"/>
          <w:kern w:val="0"/>
          <w:sz w:val="32"/>
          <w:szCs w:val="32"/>
        </w:rPr>
        <w:t>PC</w:t>
      </w:r>
      <w:r>
        <w:rPr>
          <w:rFonts w:hint="eastAsia" w:ascii="Times New Roman" w:hAnsi="Times New Roman" w:eastAsia="仿宋_GB2312" w:cs="Times New Roman"/>
          <w:kern w:val="0"/>
          <w:sz w:val="32"/>
          <w:szCs w:val="32"/>
        </w:rPr>
        <w:t>组件</w:t>
      </w:r>
      <w:r>
        <w:rPr>
          <w:rFonts w:hint="eastAsia" w:ascii="Times New Roman" w:hAnsi="Times New Roman" w:eastAsia="仿宋_GB2312" w:cs="Times New Roman"/>
          <w:kern w:val="0"/>
          <w:sz w:val="32"/>
          <w:szCs w:val="32"/>
          <w:lang w:eastAsia="zh-CN"/>
        </w:rPr>
        <w:t>或</w:t>
      </w:r>
      <w:r>
        <w:rPr>
          <w:rFonts w:hint="eastAsia" w:ascii="Times New Roman" w:hAnsi="Times New Roman" w:eastAsia="仿宋_GB2312" w:cs="Times New Roman"/>
          <w:kern w:val="0"/>
          <w:sz w:val="32"/>
          <w:szCs w:val="32"/>
        </w:rPr>
        <w:t>拓自达的F</w:t>
      </w:r>
      <w:r>
        <w:rPr>
          <w:rFonts w:ascii="Times New Roman" w:hAnsi="Times New Roman" w:eastAsia="仿宋_GB2312" w:cs="Times New Roman"/>
          <w:kern w:val="0"/>
          <w:sz w:val="32"/>
          <w:szCs w:val="32"/>
        </w:rPr>
        <w:t>PC</w:t>
      </w:r>
      <w:r>
        <w:rPr>
          <w:rFonts w:hint="eastAsia" w:ascii="Times New Roman" w:hAnsi="Times New Roman" w:eastAsia="仿宋_GB2312" w:cs="Times New Roman"/>
          <w:kern w:val="0"/>
          <w:sz w:val="32"/>
          <w:szCs w:val="32"/>
        </w:rPr>
        <w:t>组件的中国客户。</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（4）阻碍或限制（例如，通过给予折扣诱导）合作伙伴选择第三方的</w:t>
      </w:r>
      <w:r>
        <w:rPr>
          <w:rFonts w:ascii="Times New Roman" w:hAnsi="Times New Roman" w:eastAsia="仿宋_GB2312" w:cs="Times New Roman"/>
          <w:kern w:val="0"/>
          <w:sz w:val="32"/>
          <w:szCs w:val="32"/>
        </w:rPr>
        <w:t>FPC组件，包括但不限于指定与</w:t>
      </w:r>
      <w:r>
        <w:rPr>
          <w:rFonts w:hint="eastAsia" w:ascii="Times New Roman" w:hAnsi="Times New Roman" w:eastAsia="仿宋_GB2312" w:cs="Times New Roman"/>
          <w:kern w:val="0"/>
          <w:sz w:val="32"/>
          <w:szCs w:val="32"/>
        </w:rPr>
        <w:t>集中后实体的</w:t>
      </w:r>
      <w:r>
        <w:rPr>
          <w:rFonts w:ascii="Times New Roman" w:hAnsi="Times New Roman" w:eastAsia="仿宋_GB2312" w:cs="Times New Roman"/>
          <w:kern w:val="0"/>
          <w:sz w:val="32"/>
          <w:szCs w:val="32"/>
        </w:rPr>
        <w:t>FPC</w:t>
      </w:r>
      <w:r>
        <w:rPr>
          <w:rFonts w:hint="eastAsia" w:ascii="Times New Roman" w:hAnsi="Times New Roman" w:eastAsia="仿宋_GB2312" w:cs="Times New Roman"/>
          <w:kern w:val="0"/>
          <w:sz w:val="32"/>
          <w:szCs w:val="32"/>
        </w:rPr>
        <w:t>组件</w:t>
      </w:r>
      <w:r>
        <w:rPr>
          <w:rFonts w:ascii="Times New Roman" w:hAnsi="Times New Roman" w:eastAsia="仿宋_GB2312" w:cs="Times New Roman"/>
          <w:kern w:val="0"/>
          <w:sz w:val="32"/>
          <w:szCs w:val="32"/>
        </w:rPr>
        <w:t>一起使用的</w:t>
      </w:r>
      <w:r>
        <w:rPr>
          <w:rFonts w:hint="eastAsia" w:ascii="Times New Roman" w:hAnsi="Times New Roman" w:eastAsia="仿宋_GB2312" w:cs="Times New Roman"/>
          <w:kern w:val="0"/>
          <w:sz w:val="32"/>
          <w:szCs w:val="32"/>
        </w:rPr>
        <w:t>第三方的</w:t>
      </w:r>
      <w:r>
        <w:rPr>
          <w:rFonts w:ascii="Times New Roman" w:hAnsi="Times New Roman" w:eastAsia="仿宋_GB2312" w:cs="Times New Roman"/>
          <w:kern w:val="0"/>
          <w:sz w:val="32"/>
          <w:szCs w:val="32"/>
        </w:rPr>
        <w:t>FPC组件。</w:t>
      </w:r>
    </w:p>
    <w:p>
      <w:pPr>
        <w:pStyle w:val="14"/>
        <w:widowControl/>
        <w:numPr>
          <w:ilvl w:val="0"/>
          <w:numId w:val="1"/>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交易方及集中后实体承诺以公平、合理、无歧视原则的条款和条件向中国客户供应并要求其经销商以公平、合理、无歧视原则的条款和条件向中国客户供应黑化压延铜箔和</w:t>
      </w:r>
      <w:r>
        <w:rPr>
          <w:rFonts w:ascii="Times New Roman" w:hAnsi="Times New Roman" w:eastAsia="仿宋_GB2312" w:cs="Times New Roman"/>
          <w:kern w:val="0"/>
          <w:sz w:val="32"/>
          <w:szCs w:val="32"/>
        </w:rPr>
        <w:t>各向同性导电胶膜</w:t>
      </w:r>
      <w:r>
        <w:rPr>
          <w:rFonts w:hint="eastAsia" w:ascii="Times New Roman" w:hAnsi="Times New Roman" w:eastAsia="仿宋_GB2312" w:cs="Times New Roman"/>
          <w:kern w:val="0"/>
          <w:sz w:val="32"/>
          <w:szCs w:val="32"/>
        </w:rPr>
        <w:t>，包括但不限于：</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（1）继续履行与中国客户现有的商业协议，除非中国客户自行决定终止；</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（2）</w:t>
      </w:r>
      <w:r>
        <w:rPr>
          <w:rFonts w:ascii="Times New Roman" w:hAnsi="Times New Roman" w:eastAsia="仿宋_GB2312" w:cs="Times New Roman"/>
          <w:kern w:val="0"/>
          <w:sz w:val="32"/>
          <w:szCs w:val="32"/>
        </w:rPr>
        <w:t>不得</w:t>
      </w:r>
      <w:r>
        <w:rPr>
          <w:rFonts w:hint="eastAsia" w:ascii="Times New Roman" w:hAnsi="Times New Roman" w:eastAsia="仿宋_GB2312" w:cs="Times New Roman"/>
          <w:kern w:val="0"/>
          <w:sz w:val="32"/>
          <w:szCs w:val="32"/>
        </w:rPr>
        <w:t>拒绝、限制或延迟向中国客户供应黑化压延铜箔和</w:t>
      </w:r>
      <w:r>
        <w:rPr>
          <w:rFonts w:ascii="Times New Roman" w:hAnsi="Times New Roman" w:eastAsia="仿宋_GB2312" w:cs="Times New Roman"/>
          <w:kern w:val="0"/>
          <w:sz w:val="32"/>
          <w:szCs w:val="32"/>
        </w:rPr>
        <w:t>各向同性导电胶膜</w:t>
      </w:r>
      <w:r>
        <w:rPr>
          <w:rFonts w:hint="eastAsia" w:ascii="Times New Roman" w:hAnsi="Times New Roman" w:eastAsia="仿宋_GB2312" w:cs="Times New Roman"/>
          <w:kern w:val="0"/>
          <w:sz w:val="32"/>
          <w:szCs w:val="32"/>
        </w:rPr>
        <w:t>，除非存在正当理由，包括：</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因不可抗力</w:t>
      </w:r>
      <w:r>
        <w:rPr>
          <w:rFonts w:hint="eastAsia" w:ascii="Times New Roman" w:hAnsi="Times New Roman" w:eastAsia="仿宋_GB2312" w:cs="Times New Roman"/>
          <w:kern w:val="0"/>
          <w:sz w:val="32"/>
          <w:szCs w:val="32"/>
        </w:rPr>
        <w:t>（指不能预见、不能避免且不能克服的客观情况，如地震、水灾、旱灾、战争、罢工等）等</w:t>
      </w:r>
      <w:r>
        <w:rPr>
          <w:rFonts w:ascii="Times New Roman" w:hAnsi="Times New Roman" w:eastAsia="仿宋_GB2312" w:cs="Times New Roman"/>
          <w:kern w:val="0"/>
          <w:sz w:val="32"/>
          <w:szCs w:val="32"/>
        </w:rPr>
        <w:t>客观原因无法进行交易；</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交易相对人有不良信用记录或者出现经营状况恶化等情况，影响交易安全；</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当该等中国客户联系集中后实体采购黑化压延铜箔和各向同性导电胶膜时，集中后实体</w:t>
      </w:r>
      <w:r>
        <w:rPr>
          <w:rFonts w:ascii="Times New Roman" w:hAnsi="Times New Roman" w:eastAsia="仿宋_GB2312" w:cs="Times New Roman"/>
          <w:kern w:val="0"/>
          <w:sz w:val="32"/>
          <w:szCs w:val="32"/>
        </w:rPr>
        <w:t>自身</w:t>
      </w:r>
      <w:r>
        <w:rPr>
          <w:rFonts w:hint="eastAsia" w:ascii="Times New Roman" w:hAnsi="Times New Roman" w:eastAsia="仿宋_GB2312" w:cs="Times New Roman"/>
          <w:kern w:val="0"/>
          <w:sz w:val="32"/>
          <w:szCs w:val="32"/>
        </w:rPr>
        <w:t>产能</w:t>
      </w:r>
      <w:r>
        <w:rPr>
          <w:rFonts w:ascii="Times New Roman" w:hAnsi="Times New Roman" w:eastAsia="仿宋_GB2312" w:cs="Times New Roman"/>
          <w:kern w:val="0"/>
          <w:sz w:val="32"/>
          <w:szCs w:val="32"/>
        </w:rPr>
        <w:t>不足或供应链（第三方）</w:t>
      </w:r>
      <w:r>
        <w:rPr>
          <w:rFonts w:hint="eastAsia" w:ascii="Times New Roman" w:hAnsi="Times New Roman" w:eastAsia="仿宋_GB2312" w:cs="Times New Roman"/>
          <w:kern w:val="0"/>
          <w:sz w:val="32"/>
          <w:szCs w:val="32"/>
        </w:rPr>
        <w:t>产能</w:t>
      </w:r>
      <w:r>
        <w:rPr>
          <w:rFonts w:ascii="Times New Roman" w:hAnsi="Times New Roman" w:eastAsia="仿宋_GB2312" w:cs="Times New Roman"/>
          <w:kern w:val="0"/>
          <w:sz w:val="32"/>
          <w:szCs w:val="32"/>
        </w:rPr>
        <w:t>不足；</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交易相对人</w:t>
      </w:r>
      <w:r>
        <w:rPr>
          <w:rFonts w:ascii="Times New Roman" w:hAnsi="Times New Roman" w:eastAsia="仿宋_GB2312" w:cs="Times New Roman"/>
          <w:kern w:val="0"/>
          <w:sz w:val="32"/>
          <w:szCs w:val="32"/>
        </w:rPr>
        <w:t>对产品的要求</w:t>
      </w:r>
      <w:r>
        <w:rPr>
          <w:rFonts w:hint="eastAsia" w:ascii="Times New Roman" w:hAnsi="Times New Roman" w:eastAsia="仿宋_GB2312" w:cs="Times New Roman"/>
          <w:kern w:val="0"/>
          <w:sz w:val="32"/>
          <w:szCs w:val="32"/>
        </w:rPr>
        <w:t>（例如，性能和质量）</w:t>
      </w:r>
      <w:r>
        <w:rPr>
          <w:rFonts w:ascii="Times New Roman" w:hAnsi="Times New Roman" w:eastAsia="仿宋_GB2312" w:cs="Times New Roman"/>
          <w:kern w:val="0"/>
          <w:sz w:val="32"/>
          <w:szCs w:val="32"/>
        </w:rPr>
        <w:t>超出</w:t>
      </w:r>
      <w:r>
        <w:rPr>
          <w:rFonts w:hint="eastAsia" w:ascii="Times New Roman" w:hAnsi="Times New Roman" w:eastAsia="仿宋_GB2312" w:cs="Times New Roman"/>
          <w:kern w:val="0"/>
          <w:sz w:val="32"/>
          <w:szCs w:val="32"/>
        </w:rPr>
        <w:t>集中后实体</w:t>
      </w:r>
      <w:r>
        <w:rPr>
          <w:rFonts w:ascii="Times New Roman" w:hAnsi="Times New Roman" w:eastAsia="仿宋_GB2312" w:cs="Times New Roman"/>
          <w:kern w:val="0"/>
          <w:sz w:val="32"/>
          <w:szCs w:val="32"/>
        </w:rPr>
        <w:t>的</w:t>
      </w:r>
      <w:r>
        <w:rPr>
          <w:rFonts w:hint="eastAsia" w:ascii="Times New Roman" w:hAnsi="Times New Roman" w:eastAsia="仿宋_GB2312" w:cs="Times New Roman"/>
          <w:kern w:val="0"/>
          <w:sz w:val="32"/>
          <w:szCs w:val="32"/>
        </w:rPr>
        <w:t>生产和/或技术能力</w:t>
      </w:r>
      <w:r>
        <w:rPr>
          <w:rFonts w:ascii="Times New Roman" w:hAnsi="Times New Roman" w:eastAsia="仿宋_GB2312" w:cs="Times New Roman"/>
          <w:kern w:val="0"/>
          <w:sz w:val="32"/>
          <w:szCs w:val="32"/>
        </w:rPr>
        <w:t>；</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《中华人民共和国反垄断法》及相关法规规定的</w:t>
      </w:r>
      <w:r>
        <w:rPr>
          <w:rFonts w:hint="eastAsia" w:ascii="Times New Roman" w:hAnsi="Times New Roman" w:eastAsia="仿宋_GB2312" w:cs="Times New Roman"/>
          <w:kern w:val="0"/>
          <w:sz w:val="32"/>
          <w:szCs w:val="32"/>
        </w:rPr>
        <w:t>其他正当理由</w:t>
      </w:r>
      <w:r>
        <w:rPr>
          <w:rFonts w:ascii="Times New Roman" w:hAnsi="Times New Roman" w:eastAsia="仿宋_GB2312" w:cs="Times New Roman"/>
          <w:kern w:val="0"/>
          <w:sz w:val="32"/>
          <w:szCs w:val="32"/>
        </w:rPr>
        <w:t>。</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（3）就新合同（自生效日之后签订的合同）而言，</w:t>
      </w:r>
      <w:r>
        <w:rPr>
          <w:rFonts w:ascii="Times New Roman" w:hAnsi="Times New Roman" w:eastAsia="仿宋_GB2312" w:cs="Times New Roman"/>
          <w:kern w:val="0"/>
          <w:sz w:val="32"/>
          <w:szCs w:val="32"/>
        </w:rPr>
        <w:t>交易方和集中后实体应确保</w:t>
      </w:r>
      <w:r>
        <w:rPr>
          <w:rFonts w:hint="eastAsia" w:ascii="Times New Roman" w:hAnsi="Times New Roman" w:eastAsia="仿宋_GB2312" w:cs="Times New Roman"/>
          <w:kern w:val="0"/>
          <w:sz w:val="32"/>
          <w:szCs w:val="32"/>
        </w:rPr>
        <w:t>与中国客户的价格、质量、数量、交货时间、售后服务等商业条款方面，不得不合理地低于</w:t>
      </w:r>
      <w:r>
        <w:rPr>
          <w:rFonts w:ascii="Times New Roman" w:hAnsi="Times New Roman" w:eastAsia="仿宋_GB2312" w:cs="Times New Roman"/>
          <w:kern w:val="0"/>
          <w:sz w:val="32"/>
          <w:szCs w:val="32"/>
        </w:rPr>
        <w:t>生效日之前12个月内向该同一</w:t>
      </w:r>
      <w:r>
        <w:rPr>
          <w:rFonts w:hint="eastAsia" w:ascii="Times New Roman" w:hAnsi="Times New Roman" w:eastAsia="仿宋_GB2312" w:cs="Times New Roman"/>
          <w:kern w:val="0"/>
          <w:sz w:val="32"/>
          <w:szCs w:val="32"/>
        </w:rPr>
        <w:t>中国</w:t>
      </w:r>
      <w:r>
        <w:rPr>
          <w:rFonts w:ascii="Times New Roman" w:hAnsi="Times New Roman" w:eastAsia="仿宋_GB2312" w:cs="Times New Roman"/>
          <w:kern w:val="0"/>
          <w:sz w:val="32"/>
          <w:szCs w:val="32"/>
        </w:rPr>
        <w:t>客户供应可比</w:t>
      </w:r>
      <w:r>
        <w:rPr>
          <w:rFonts w:hint="eastAsia" w:ascii="Times New Roman" w:hAnsi="Times New Roman" w:eastAsia="仿宋_GB2312" w:cs="Times New Roman"/>
          <w:kern w:val="0"/>
          <w:sz w:val="32"/>
          <w:szCs w:val="32"/>
        </w:rPr>
        <w:t>黑化压延铜箔和/或可比</w:t>
      </w:r>
      <w:r>
        <w:rPr>
          <w:rFonts w:ascii="Times New Roman" w:hAnsi="Times New Roman" w:eastAsia="仿宋_GB2312" w:cs="Times New Roman"/>
          <w:kern w:val="0"/>
          <w:sz w:val="32"/>
          <w:szCs w:val="32"/>
        </w:rPr>
        <w:t>各向同性导电胶膜所适用的条款。</w:t>
      </w:r>
      <w:r>
        <w:rPr>
          <w:rFonts w:hint="eastAsia" w:ascii="Times New Roman" w:hAnsi="Times New Roman" w:eastAsia="仿宋_GB2312" w:cs="Times New Roman"/>
          <w:kern w:val="0"/>
          <w:sz w:val="32"/>
          <w:szCs w:val="32"/>
        </w:rPr>
        <w:t>尽管如此，在价格方面，不应高于生效日之前</w:t>
      </w:r>
      <w:r>
        <w:rPr>
          <w:rFonts w:ascii="Times New Roman" w:hAnsi="Times New Roman" w:eastAsia="仿宋_GB2312" w:cs="Times New Roman"/>
          <w:kern w:val="0"/>
          <w:sz w:val="32"/>
          <w:szCs w:val="32"/>
        </w:rPr>
        <w:t>12个月内</w:t>
      </w:r>
      <w:r>
        <w:rPr>
          <w:rFonts w:hint="eastAsia" w:ascii="Times New Roman" w:hAnsi="Times New Roman" w:eastAsia="仿宋_GB2312" w:cs="Times New Roman"/>
          <w:kern w:val="0"/>
          <w:sz w:val="32"/>
          <w:szCs w:val="32"/>
        </w:rPr>
        <w:t>，在交易条款和交易条件相当的情况下，</w:t>
      </w:r>
      <w:r>
        <w:rPr>
          <w:rFonts w:ascii="Times New Roman" w:hAnsi="Times New Roman" w:eastAsia="仿宋_GB2312" w:cs="Times New Roman"/>
          <w:kern w:val="0"/>
          <w:sz w:val="32"/>
          <w:szCs w:val="32"/>
        </w:rPr>
        <w:t>向相关</w:t>
      </w:r>
      <w:r>
        <w:rPr>
          <w:rFonts w:hint="eastAsia" w:ascii="Times New Roman" w:hAnsi="Times New Roman" w:eastAsia="仿宋_GB2312" w:cs="Times New Roman"/>
          <w:kern w:val="0"/>
          <w:sz w:val="32"/>
          <w:szCs w:val="32"/>
        </w:rPr>
        <w:t>中国</w:t>
      </w:r>
      <w:r>
        <w:rPr>
          <w:rFonts w:ascii="Times New Roman" w:hAnsi="Times New Roman" w:eastAsia="仿宋_GB2312" w:cs="Times New Roman"/>
          <w:kern w:val="0"/>
          <w:sz w:val="32"/>
          <w:szCs w:val="32"/>
        </w:rPr>
        <w:t>客户供应可比</w:t>
      </w:r>
      <w:r>
        <w:rPr>
          <w:rFonts w:hint="eastAsia" w:ascii="Times New Roman" w:hAnsi="Times New Roman" w:eastAsia="仿宋_GB2312" w:cs="Times New Roman"/>
          <w:kern w:val="0"/>
          <w:sz w:val="32"/>
          <w:szCs w:val="32"/>
        </w:rPr>
        <w:t>黑化压延铜箔和/或可比</w:t>
      </w:r>
      <w:r>
        <w:rPr>
          <w:rFonts w:ascii="Times New Roman" w:hAnsi="Times New Roman" w:eastAsia="仿宋_GB2312" w:cs="Times New Roman"/>
          <w:kern w:val="0"/>
          <w:sz w:val="32"/>
          <w:szCs w:val="32"/>
        </w:rPr>
        <w:t>各向同性导电胶膜的平均价格</w:t>
      </w:r>
      <w:r>
        <w:rPr>
          <w:rFonts w:hint="eastAsia" w:ascii="Times New Roman" w:hAnsi="Times New Roman" w:eastAsia="仿宋_GB2312" w:cs="Times New Roman"/>
          <w:kern w:val="0"/>
          <w:sz w:val="32"/>
          <w:szCs w:val="32"/>
        </w:rPr>
        <w:t>。</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在评估“可比黑化压延铜箔和/或可比</w:t>
      </w:r>
      <w:r>
        <w:rPr>
          <w:rFonts w:ascii="Times New Roman" w:hAnsi="Times New Roman" w:eastAsia="仿宋_GB2312" w:cs="Times New Roman"/>
          <w:kern w:val="0"/>
          <w:sz w:val="32"/>
          <w:szCs w:val="32"/>
        </w:rPr>
        <w:t>各向同性导电胶膜</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时，</w:t>
      </w:r>
      <w:r>
        <w:rPr>
          <w:rFonts w:hint="eastAsia" w:ascii="Times New Roman" w:hAnsi="Times New Roman" w:eastAsia="仿宋_GB2312" w:cs="Times New Roman"/>
          <w:kern w:val="0"/>
          <w:sz w:val="32"/>
          <w:szCs w:val="32"/>
        </w:rPr>
        <w:t>应当参考以下因素，例如：</w:t>
      </w:r>
      <w:r>
        <w:rPr>
          <w:rFonts w:ascii="Times New Roman" w:hAnsi="Times New Roman" w:eastAsia="仿宋_GB2312" w:cs="Times New Roman"/>
          <w:kern w:val="0"/>
          <w:sz w:val="32"/>
          <w:szCs w:val="32"/>
        </w:rPr>
        <w:t>定制</w:t>
      </w:r>
      <w:r>
        <w:rPr>
          <w:rFonts w:hint="eastAsia" w:ascii="Times New Roman" w:hAnsi="Times New Roman" w:eastAsia="仿宋_GB2312" w:cs="Times New Roman"/>
          <w:kern w:val="0"/>
          <w:sz w:val="32"/>
          <w:szCs w:val="32"/>
        </w:rPr>
        <w:t>化成本</w:t>
      </w:r>
      <w:r>
        <w:rPr>
          <w:rFonts w:ascii="Times New Roman" w:hAnsi="Times New Roman" w:eastAsia="仿宋_GB2312" w:cs="Times New Roman"/>
          <w:kern w:val="0"/>
          <w:sz w:val="32"/>
          <w:szCs w:val="32"/>
        </w:rPr>
        <w:t>、原材料或原材料</w:t>
      </w:r>
      <w:r>
        <w:rPr>
          <w:rFonts w:hint="eastAsia" w:ascii="Times New Roman" w:hAnsi="Times New Roman" w:eastAsia="仿宋_GB2312" w:cs="Times New Roman"/>
          <w:kern w:val="0"/>
          <w:sz w:val="32"/>
          <w:szCs w:val="32"/>
        </w:rPr>
        <w:t>的</w:t>
      </w:r>
      <w:r>
        <w:rPr>
          <w:rFonts w:ascii="Times New Roman" w:hAnsi="Times New Roman" w:eastAsia="仿宋_GB2312" w:cs="Times New Roman"/>
          <w:kern w:val="0"/>
          <w:sz w:val="32"/>
          <w:szCs w:val="32"/>
        </w:rPr>
        <w:t>等级、工艺、质量、尺寸、性能</w:t>
      </w:r>
      <w:r>
        <w:rPr>
          <w:rFonts w:hint="eastAsia" w:ascii="Times New Roman" w:hAnsi="Times New Roman" w:eastAsia="仿宋_GB2312" w:cs="Times New Roman"/>
          <w:kern w:val="0"/>
          <w:sz w:val="32"/>
          <w:szCs w:val="32"/>
        </w:rPr>
        <w:t>特点及</w:t>
      </w:r>
      <w:r>
        <w:rPr>
          <w:rFonts w:ascii="Times New Roman" w:hAnsi="Times New Roman" w:eastAsia="仿宋_GB2312" w:cs="Times New Roman"/>
          <w:kern w:val="0"/>
          <w:sz w:val="32"/>
          <w:szCs w:val="32"/>
        </w:rPr>
        <w:t>其他相关因素</w:t>
      </w:r>
      <w:r>
        <w:rPr>
          <w:rFonts w:hint="eastAsia" w:ascii="Times New Roman" w:hAnsi="Times New Roman" w:eastAsia="仿宋_GB2312" w:cs="Times New Roman"/>
          <w:kern w:val="0"/>
          <w:sz w:val="32"/>
          <w:szCs w:val="32"/>
        </w:rPr>
        <w:t>；</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为免异义，交易方及集中后实体可以根据以下因素对黑化压延铜箔和/或</w:t>
      </w:r>
      <w:r>
        <w:rPr>
          <w:rFonts w:ascii="Times New Roman" w:hAnsi="Times New Roman" w:eastAsia="仿宋_GB2312" w:cs="Times New Roman"/>
          <w:kern w:val="0"/>
          <w:sz w:val="32"/>
          <w:szCs w:val="32"/>
        </w:rPr>
        <w:t>各向同性导电胶膜</w:t>
      </w:r>
      <w:r>
        <w:rPr>
          <w:rFonts w:hint="eastAsia" w:ascii="Times New Roman" w:hAnsi="Times New Roman" w:eastAsia="仿宋_GB2312" w:cs="Times New Roman"/>
          <w:kern w:val="0"/>
          <w:sz w:val="32"/>
          <w:szCs w:val="32"/>
        </w:rPr>
        <w:t>新合同的交易条件（包括价格）进行公平合理的调整：主要原材料成本上升；通货膨胀（以适当的生产者价格指数计算）；和/或外汇汇率波动。</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（4）在同等条件下，不得就可比黑化压延铜箔和/或可比</w:t>
      </w:r>
      <w:r>
        <w:rPr>
          <w:rFonts w:ascii="Times New Roman" w:hAnsi="Times New Roman" w:eastAsia="仿宋_GB2312" w:cs="Times New Roman"/>
          <w:kern w:val="0"/>
          <w:sz w:val="32"/>
          <w:szCs w:val="32"/>
        </w:rPr>
        <w:t>各向同性导电胶膜</w:t>
      </w:r>
      <w:r>
        <w:rPr>
          <w:rFonts w:hint="eastAsia" w:ascii="Times New Roman" w:hAnsi="Times New Roman" w:eastAsia="仿宋_GB2312" w:cs="Times New Roman"/>
          <w:kern w:val="0"/>
          <w:sz w:val="32"/>
          <w:szCs w:val="32"/>
        </w:rPr>
        <w:t>的价格、质量、数量、交货时间、售后服务等商业条款方面对中国客户实施差别待遇</w:t>
      </w:r>
      <w:r>
        <w:rPr>
          <w:rFonts w:ascii="Times New Roman" w:hAnsi="Times New Roman" w:eastAsia="仿宋_GB2312" w:cs="Times New Roman"/>
          <w:kern w:val="0"/>
          <w:sz w:val="32"/>
          <w:szCs w:val="32"/>
        </w:rPr>
        <w:t>。</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在评估“可比黑化压延铜箔和/或可比</w:t>
      </w:r>
      <w:r>
        <w:rPr>
          <w:rFonts w:ascii="Times New Roman" w:hAnsi="Times New Roman" w:eastAsia="仿宋_GB2312" w:cs="Times New Roman"/>
          <w:kern w:val="0"/>
          <w:sz w:val="32"/>
          <w:szCs w:val="32"/>
        </w:rPr>
        <w:t>各向同性导电胶膜</w:t>
      </w:r>
      <w:r>
        <w:rPr>
          <w:rFonts w:hint="eastAsia" w:ascii="Times New Roman" w:hAnsi="Times New Roman" w:eastAsia="仿宋_GB2312" w:cs="Times New Roman"/>
          <w:kern w:val="0"/>
          <w:sz w:val="32"/>
          <w:szCs w:val="32"/>
        </w:rPr>
        <w:t>”</w:t>
      </w:r>
      <w:r>
        <w:rPr>
          <w:rFonts w:ascii="Times New Roman" w:hAnsi="Times New Roman" w:eastAsia="仿宋_GB2312" w:cs="Times New Roman"/>
          <w:kern w:val="0"/>
          <w:sz w:val="32"/>
          <w:szCs w:val="32"/>
        </w:rPr>
        <w:t>时，应当参考以下因素，例如：定制化</w:t>
      </w:r>
      <w:r>
        <w:rPr>
          <w:rFonts w:hint="eastAsia" w:ascii="Times New Roman" w:hAnsi="Times New Roman" w:eastAsia="仿宋_GB2312" w:cs="Times New Roman"/>
          <w:kern w:val="0"/>
          <w:sz w:val="32"/>
          <w:szCs w:val="32"/>
        </w:rPr>
        <w:t>成本</w:t>
      </w:r>
      <w:r>
        <w:rPr>
          <w:rFonts w:ascii="Times New Roman" w:hAnsi="Times New Roman" w:eastAsia="仿宋_GB2312" w:cs="Times New Roman"/>
          <w:kern w:val="0"/>
          <w:sz w:val="32"/>
          <w:szCs w:val="32"/>
        </w:rPr>
        <w:t>、原材料或原材料的等级、工艺、质量、尺寸、性能特点及其他相关因素。</w:t>
      </w:r>
    </w:p>
    <w:p>
      <w:pPr>
        <w:pStyle w:val="14"/>
        <w:widowControl/>
        <w:autoSpaceDE w:val="0"/>
        <w:autoSpaceDN w:val="0"/>
        <w:adjustRightInd w:val="0"/>
        <w:spacing w:line="360" w:lineRule="auto"/>
        <w:ind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（5）对于交易方在全球范围内自行开发的黑化压延铜箔和各向同性导电胶膜，如果中国客户有相应的需求，交易方及集中后实体应向该等中国客户供应该等产品，除非存在正当理由，包括：</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因不可抗力</w:t>
      </w:r>
      <w:r>
        <w:rPr>
          <w:rFonts w:hint="eastAsia" w:ascii="Times New Roman" w:hAnsi="Times New Roman" w:eastAsia="仿宋_GB2312" w:cs="Times New Roman"/>
          <w:kern w:val="0"/>
          <w:sz w:val="32"/>
          <w:szCs w:val="32"/>
        </w:rPr>
        <w:t>（指不能预见、不能避免且不能克服的客观情况，如地震、水灾、旱灾、战争、罢工等）等</w:t>
      </w:r>
      <w:r>
        <w:rPr>
          <w:rFonts w:ascii="Times New Roman" w:hAnsi="Times New Roman" w:eastAsia="仿宋_GB2312" w:cs="Times New Roman"/>
          <w:kern w:val="0"/>
          <w:sz w:val="32"/>
          <w:szCs w:val="32"/>
        </w:rPr>
        <w:t>客观原因无法进行交易；</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交易相对人有不良信用记录或者出现经营状况恶化等情况，影响交易安全；</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当该等中国客户联系集中后实体采购黑化压延铜箔和各向同性导电胶膜时，集中后实体</w:t>
      </w:r>
      <w:r>
        <w:rPr>
          <w:rFonts w:ascii="Times New Roman" w:hAnsi="Times New Roman" w:eastAsia="仿宋_GB2312" w:cs="Times New Roman"/>
          <w:kern w:val="0"/>
          <w:sz w:val="32"/>
          <w:szCs w:val="32"/>
        </w:rPr>
        <w:t>自身</w:t>
      </w:r>
      <w:r>
        <w:rPr>
          <w:rFonts w:hint="eastAsia" w:ascii="Times New Roman" w:hAnsi="Times New Roman" w:eastAsia="仿宋_GB2312" w:cs="Times New Roman"/>
          <w:kern w:val="0"/>
          <w:sz w:val="32"/>
          <w:szCs w:val="32"/>
        </w:rPr>
        <w:t>产能</w:t>
      </w:r>
      <w:r>
        <w:rPr>
          <w:rFonts w:ascii="Times New Roman" w:hAnsi="Times New Roman" w:eastAsia="仿宋_GB2312" w:cs="Times New Roman"/>
          <w:kern w:val="0"/>
          <w:sz w:val="32"/>
          <w:szCs w:val="32"/>
        </w:rPr>
        <w:t>不足或供应链（第三方）</w:t>
      </w:r>
      <w:r>
        <w:rPr>
          <w:rFonts w:hint="eastAsia" w:ascii="Times New Roman" w:hAnsi="Times New Roman" w:eastAsia="仿宋_GB2312" w:cs="Times New Roman"/>
          <w:kern w:val="0"/>
          <w:sz w:val="32"/>
          <w:szCs w:val="32"/>
        </w:rPr>
        <w:t>产能</w:t>
      </w:r>
      <w:r>
        <w:rPr>
          <w:rFonts w:ascii="Times New Roman" w:hAnsi="Times New Roman" w:eastAsia="仿宋_GB2312" w:cs="Times New Roman"/>
          <w:kern w:val="0"/>
          <w:sz w:val="32"/>
          <w:szCs w:val="32"/>
        </w:rPr>
        <w:t>不足；</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交易相对人</w:t>
      </w:r>
      <w:r>
        <w:rPr>
          <w:rFonts w:ascii="Times New Roman" w:hAnsi="Times New Roman" w:eastAsia="仿宋_GB2312" w:cs="Times New Roman"/>
          <w:kern w:val="0"/>
          <w:sz w:val="32"/>
          <w:szCs w:val="32"/>
        </w:rPr>
        <w:t>对产品的要求</w:t>
      </w:r>
      <w:r>
        <w:rPr>
          <w:rFonts w:hint="eastAsia" w:ascii="Times New Roman" w:hAnsi="Times New Roman" w:eastAsia="仿宋_GB2312" w:cs="Times New Roman"/>
          <w:kern w:val="0"/>
          <w:sz w:val="32"/>
          <w:szCs w:val="32"/>
        </w:rPr>
        <w:t>（例如，性能和质量）</w:t>
      </w:r>
      <w:r>
        <w:rPr>
          <w:rFonts w:ascii="Times New Roman" w:hAnsi="Times New Roman" w:eastAsia="仿宋_GB2312" w:cs="Times New Roman"/>
          <w:kern w:val="0"/>
          <w:sz w:val="32"/>
          <w:szCs w:val="32"/>
        </w:rPr>
        <w:t>超出</w:t>
      </w:r>
      <w:r>
        <w:rPr>
          <w:rFonts w:hint="eastAsia" w:ascii="Times New Roman" w:hAnsi="Times New Roman" w:eastAsia="仿宋_GB2312" w:cs="Times New Roman"/>
          <w:kern w:val="0"/>
          <w:sz w:val="32"/>
          <w:szCs w:val="32"/>
        </w:rPr>
        <w:t>集中后实体</w:t>
      </w:r>
      <w:r>
        <w:rPr>
          <w:rFonts w:ascii="Times New Roman" w:hAnsi="Times New Roman" w:eastAsia="仿宋_GB2312" w:cs="Times New Roman"/>
          <w:kern w:val="0"/>
          <w:sz w:val="32"/>
          <w:szCs w:val="32"/>
        </w:rPr>
        <w:t>的</w:t>
      </w:r>
      <w:r>
        <w:rPr>
          <w:rFonts w:hint="eastAsia" w:ascii="Times New Roman" w:hAnsi="Times New Roman" w:eastAsia="仿宋_GB2312" w:cs="Times New Roman"/>
          <w:kern w:val="0"/>
          <w:sz w:val="32"/>
          <w:szCs w:val="32"/>
        </w:rPr>
        <w:t>生产和/或技术能力</w:t>
      </w:r>
      <w:r>
        <w:rPr>
          <w:rFonts w:ascii="Times New Roman" w:hAnsi="Times New Roman" w:eastAsia="仿宋_GB2312" w:cs="Times New Roman"/>
          <w:kern w:val="0"/>
          <w:sz w:val="32"/>
          <w:szCs w:val="32"/>
        </w:rPr>
        <w:t>；</w:t>
      </w:r>
    </w:p>
    <w:p>
      <w:pPr>
        <w:pStyle w:val="14"/>
        <w:widowControl/>
        <w:numPr>
          <w:ilvl w:val="0"/>
          <w:numId w:val="2"/>
        </w:numPr>
        <w:autoSpaceDE w:val="0"/>
        <w:autoSpaceDN w:val="0"/>
        <w:adjustRightInd w:val="0"/>
        <w:spacing w:line="360" w:lineRule="auto"/>
        <w:ind w:left="1080" w:firstLineChars="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《中华人民共和国反垄断法》及相关法规规定的</w:t>
      </w:r>
      <w:r>
        <w:rPr>
          <w:rFonts w:hint="eastAsia" w:ascii="Times New Roman" w:hAnsi="Times New Roman" w:eastAsia="仿宋_GB2312" w:cs="Times New Roman"/>
          <w:kern w:val="0"/>
          <w:sz w:val="32"/>
          <w:szCs w:val="32"/>
        </w:rPr>
        <w:t>其他正当理由。</w:t>
      </w:r>
    </w:p>
    <w:p>
      <w:pPr>
        <w:pStyle w:val="14"/>
        <w:widowControl/>
        <w:numPr>
          <w:ilvl w:val="0"/>
          <w:numId w:val="1"/>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交易方及集中后实体不得降低其黑化压延铜箔和各向同性导电胶膜与第三方</w:t>
      </w:r>
      <w:r>
        <w:rPr>
          <w:rFonts w:ascii="Times New Roman" w:hAnsi="Times New Roman" w:eastAsia="仿宋_GB2312" w:cs="Times New Roman"/>
          <w:kern w:val="0"/>
          <w:sz w:val="32"/>
          <w:szCs w:val="32"/>
        </w:rPr>
        <w:t>FPC组件</w:t>
      </w:r>
      <w:r>
        <w:rPr>
          <w:rFonts w:hint="eastAsia" w:ascii="Times New Roman" w:hAnsi="Times New Roman" w:eastAsia="仿宋_GB2312" w:cs="Times New Roman"/>
          <w:kern w:val="0"/>
          <w:sz w:val="32"/>
          <w:szCs w:val="32"/>
        </w:rPr>
        <w:t>之间的</w:t>
      </w:r>
      <w:r>
        <w:rPr>
          <w:rFonts w:ascii="Times New Roman" w:hAnsi="Times New Roman" w:eastAsia="仿宋_GB2312" w:cs="Times New Roman"/>
          <w:kern w:val="0"/>
          <w:sz w:val="32"/>
          <w:szCs w:val="32"/>
        </w:rPr>
        <w:t>现有兼容性水平，但</w:t>
      </w:r>
      <w:r>
        <w:rPr>
          <w:rFonts w:hint="eastAsia" w:ascii="Times New Roman" w:hAnsi="Times New Roman" w:eastAsia="仿宋_GB2312" w:cs="Times New Roman"/>
          <w:kern w:val="0"/>
          <w:sz w:val="32"/>
          <w:szCs w:val="32"/>
        </w:rPr>
        <w:t>交易方及集中后实体为</w:t>
      </w:r>
      <w:r>
        <w:rPr>
          <w:rFonts w:ascii="Times New Roman" w:hAnsi="Times New Roman" w:eastAsia="仿宋_GB2312" w:cs="Times New Roman"/>
          <w:kern w:val="0"/>
          <w:sz w:val="32"/>
          <w:szCs w:val="32"/>
        </w:rPr>
        <w:t>满足其客户要求（例如，要求改变</w:t>
      </w:r>
      <w:r>
        <w:rPr>
          <w:rFonts w:hint="eastAsia" w:ascii="Times New Roman" w:hAnsi="Times New Roman" w:eastAsia="仿宋_GB2312" w:cs="Times New Roman"/>
          <w:kern w:val="0"/>
          <w:sz w:val="32"/>
          <w:szCs w:val="32"/>
        </w:rPr>
        <w:t>集中后实体</w:t>
      </w:r>
      <w:r>
        <w:rPr>
          <w:rFonts w:ascii="Times New Roman" w:hAnsi="Times New Roman" w:eastAsia="仿宋_GB2312" w:cs="Times New Roman"/>
          <w:kern w:val="0"/>
          <w:sz w:val="32"/>
          <w:szCs w:val="32"/>
        </w:rPr>
        <w:t>的FPC组件规格）</w:t>
      </w:r>
      <w:r>
        <w:rPr>
          <w:rFonts w:hint="eastAsia" w:ascii="Times New Roman" w:hAnsi="Times New Roman" w:eastAsia="仿宋_GB2312" w:cs="Times New Roman"/>
          <w:kern w:val="0"/>
          <w:sz w:val="32"/>
          <w:szCs w:val="32"/>
        </w:rPr>
        <w:t>所</w:t>
      </w:r>
      <w:r>
        <w:rPr>
          <w:rFonts w:ascii="Times New Roman" w:hAnsi="Times New Roman" w:eastAsia="仿宋_GB2312" w:cs="Times New Roman"/>
          <w:kern w:val="0"/>
          <w:sz w:val="32"/>
          <w:szCs w:val="32"/>
        </w:rPr>
        <w:t>最终可能导致兼容性水平降低的情况除外。</w:t>
      </w:r>
    </w:p>
    <w:p>
      <w:pPr>
        <w:widowControl/>
        <w:spacing w:after="120" w:line="360" w:lineRule="auto"/>
        <w:jc w:val="center"/>
        <w:rPr>
          <w:rFonts w:eastAsia="黑体" w:cs="Times New Roman"/>
          <w:bCs/>
          <w:sz w:val="32"/>
          <w:szCs w:val="32"/>
        </w:rPr>
      </w:pPr>
    </w:p>
    <w:p>
      <w:pPr>
        <w:widowControl/>
        <w:spacing w:after="120" w:line="360" w:lineRule="auto"/>
        <w:jc w:val="center"/>
        <w:rPr>
          <w:rFonts w:eastAsia="黑体" w:cs="Times New Roman"/>
          <w:bCs/>
          <w:sz w:val="32"/>
          <w:szCs w:val="32"/>
        </w:rPr>
      </w:pPr>
      <w:r>
        <w:rPr>
          <w:rFonts w:eastAsia="黑体"/>
          <w:bCs/>
          <w:sz w:val="32"/>
          <w:szCs w:val="32"/>
        </w:rPr>
        <w:t>第三部分</w:t>
      </w:r>
      <w:r>
        <w:rPr>
          <w:rFonts w:hint="eastAsia" w:eastAsia="黑体"/>
          <w:bCs/>
          <w:sz w:val="32"/>
          <w:szCs w:val="32"/>
        </w:rPr>
        <w:t xml:space="preserve"> </w:t>
      </w:r>
      <w:r>
        <w:rPr>
          <w:rFonts w:eastAsia="黑体" w:cs="Times New Roman"/>
          <w:bCs/>
          <w:sz w:val="32"/>
          <w:szCs w:val="32"/>
        </w:rPr>
        <w:t>定期报告</w:t>
      </w:r>
    </w:p>
    <w:p>
      <w:pPr>
        <w:pStyle w:val="14"/>
        <w:widowControl/>
        <w:numPr>
          <w:ilvl w:val="0"/>
          <w:numId w:val="3"/>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自生效日起，交易方和集中后实体应每年向市场监管总局报告承诺方案的履行情况，直至承诺方案终止。</w:t>
      </w:r>
    </w:p>
    <w:p>
      <w:pPr>
        <w:pStyle w:val="14"/>
        <w:widowControl/>
        <w:numPr>
          <w:ilvl w:val="0"/>
          <w:numId w:val="3"/>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为履行承诺方案，交易方和集中后实体应制定具体履行方案提交市场监管总局审查，并在市场监管总局批准后执行。</w:t>
      </w:r>
    </w:p>
    <w:p>
      <w:pPr>
        <w:widowControl/>
        <w:spacing w:after="120" w:line="360" w:lineRule="auto"/>
        <w:jc w:val="center"/>
        <w:rPr>
          <w:rFonts w:eastAsia="黑体" w:cs="Times New Roman"/>
          <w:bCs/>
          <w:sz w:val="32"/>
          <w:szCs w:val="32"/>
        </w:rPr>
      </w:pPr>
    </w:p>
    <w:p>
      <w:pPr>
        <w:widowControl/>
        <w:spacing w:after="120" w:line="360" w:lineRule="auto"/>
        <w:jc w:val="center"/>
        <w:rPr>
          <w:rFonts w:eastAsia="黑体" w:cs="Times New Roman"/>
          <w:bCs/>
          <w:sz w:val="32"/>
          <w:szCs w:val="32"/>
        </w:rPr>
      </w:pPr>
      <w:r>
        <w:rPr>
          <w:rFonts w:eastAsia="黑体"/>
          <w:bCs/>
          <w:sz w:val="32"/>
          <w:szCs w:val="32"/>
        </w:rPr>
        <w:t>第四部分</w:t>
      </w:r>
      <w:r>
        <w:rPr>
          <w:rFonts w:hint="eastAsia" w:eastAsia="黑体"/>
          <w:bCs/>
          <w:sz w:val="32"/>
          <w:szCs w:val="32"/>
        </w:rPr>
        <w:t xml:space="preserve"> </w:t>
      </w:r>
      <w:r>
        <w:rPr>
          <w:rFonts w:eastAsia="黑体" w:cs="Times New Roman"/>
          <w:bCs/>
          <w:sz w:val="32"/>
          <w:szCs w:val="32"/>
        </w:rPr>
        <w:t>其他事项</w:t>
      </w:r>
    </w:p>
    <w:p>
      <w:pPr>
        <w:pStyle w:val="14"/>
        <w:widowControl/>
        <w:numPr>
          <w:ilvl w:val="0"/>
          <w:numId w:val="4"/>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交易方将</w:t>
      </w:r>
      <w:r>
        <w:rPr>
          <w:rFonts w:hint="eastAsia" w:ascii="Times New Roman" w:hAnsi="Times New Roman" w:eastAsia="仿宋_GB2312" w:cs="Times New Roman"/>
          <w:kern w:val="0"/>
          <w:sz w:val="32"/>
          <w:szCs w:val="32"/>
        </w:rPr>
        <w:t>委托</w:t>
      </w:r>
      <w:r>
        <w:rPr>
          <w:rFonts w:ascii="Times New Roman" w:hAnsi="Times New Roman" w:eastAsia="仿宋_GB2312" w:cs="Times New Roman"/>
          <w:kern w:val="0"/>
          <w:sz w:val="32"/>
          <w:szCs w:val="32"/>
        </w:rPr>
        <w:t>监督受托人，监督受托人应根据《经营者集中审查规定》监督交易方</w:t>
      </w:r>
      <w:r>
        <w:rPr>
          <w:rFonts w:hint="eastAsia" w:ascii="Times New Roman" w:hAnsi="Times New Roman" w:eastAsia="仿宋_GB2312" w:cs="Times New Roman"/>
          <w:kern w:val="0"/>
          <w:sz w:val="32"/>
          <w:szCs w:val="32"/>
        </w:rPr>
        <w:t>履行承诺方案</w:t>
      </w:r>
      <w:r>
        <w:rPr>
          <w:rFonts w:ascii="Times New Roman" w:hAnsi="Times New Roman" w:eastAsia="仿宋_GB2312" w:cs="Times New Roman"/>
          <w:kern w:val="0"/>
          <w:sz w:val="32"/>
          <w:szCs w:val="32"/>
        </w:rPr>
        <w:t>。</w:t>
      </w:r>
    </w:p>
    <w:p>
      <w:pPr>
        <w:pStyle w:val="14"/>
        <w:widowControl/>
        <w:numPr>
          <w:ilvl w:val="0"/>
          <w:numId w:val="4"/>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市场监管总局有权自行或通过监督受托人监督检查交易方和集中后实体履行</w:t>
      </w:r>
      <w:r>
        <w:rPr>
          <w:rFonts w:hint="eastAsia" w:ascii="Times New Roman" w:hAnsi="Times New Roman" w:eastAsia="仿宋_GB2312" w:cs="Times New Roman"/>
          <w:kern w:val="0"/>
          <w:sz w:val="32"/>
          <w:szCs w:val="32"/>
        </w:rPr>
        <w:t>承诺方案</w:t>
      </w:r>
      <w:r>
        <w:rPr>
          <w:rFonts w:ascii="Times New Roman" w:hAnsi="Times New Roman" w:eastAsia="仿宋_GB2312" w:cs="Times New Roman"/>
          <w:kern w:val="0"/>
          <w:sz w:val="32"/>
          <w:szCs w:val="32"/>
        </w:rPr>
        <w:t>的情况。如违反任何限制性条件，市场监管总局</w:t>
      </w:r>
      <w:r>
        <w:rPr>
          <w:rFonts w:hint="eastAsia" w:ascii="Times New Roman" w:hAnsi="Times New Roman" w:eastAsia="仿宋_GB2312" w:cs="Times New Roman"/>
          <w:kern w:val="0"/>
          <w:sz w:val="32"/>
          <w:szCs w:val="32"/>
        </w:rPr>
        <w:t>可</w:t>
      </w:r>
      <w:r>
        <w:rPr>
          <w:rFonts w:ascii="Times New Roman" w:hAnsi="Times New Roman" w:eastAsia="仿宋_GB2312" w:cs="Times New Roman"/>
          <w:kern w:val="0"/>
          <w:sz w:val="32"/>
          <w:szCs w:val="32"/>
        </w:rPr>
        <w:t>根据《中华人民共和国反垄断法》的相关规定作出决定，交易方和集中后实体应承担相应的法律责任。</w:t>
      </w:r>
    </w:p>
    <w:p>
      <w:pPr>
        <w:pStyle w:val="14"/>
        <w:widowControl/>
        <w:numPr>
          <w:ilvl w:val="0"/>
          <w:numId w:val="4"/>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承诺方案中第二部分的所有限制性条件自生效日起八（</w:t>
      </w:r>
      <w:r>
        <w:rPr>
          <w:rFonts w:ascii="Times New Roman" w:hAnsi="Times New Roman" w:eastAsia="仿宋_GB2312" w:cs="Times New Roman"/>
          <w:kern w:val="0"/>
          <w:sz w:val="32"/>
          <w:szCs w:val="32"/>
        </w:rPr>
        <w:t>8</w:t>
      </w:r>
      <w:r>
        <w:rPr>
          <w:rFonts w:hint="eastAsia" w:ascii="Times New Roman" w:hAnsi="Times New Roman" w:eastAsia="仿宋_GB2312" w:cs="Times New Roman"/>
          <w:kern w:val="0"/>
          <w:sz w:val="32"/>
          <w:szCs w:val="32"/>
        </w:rPr>
        <w:t>）年内有效，并在八（</w:t>
      </w:r>
      <w:r>
        <w:rPr>
          <w:rFonts w:ascii="Times New Roman" w:hAnsi="Times New Roman" w:eastAsia="仿宋_GB2312" w:cs="Times New Roman"/>
          <w:kern w:val="0"/>
          <w:sz w:val="32"/>
          <w:szCs w:val="32"/>
        </w:rPr>
        <w:t>8</w:t>
      </w:r>
      <w:r>
        <w:rPr>
          <w:rFonts w:hint="eastAsia" w:ascii="Times New Roman" w:hAnsi="Times New Roman" w:eastAsia="仿宋_GB2312" w:cs="Times New Roman"/>
          <w:kern w:val="0"/>
          <w:sz w:val="32"/>
          <w:szCs w:val="32"/>
        </w:rPr>
        <w:t>）年期限届满后终止。</w:t>
      </w:r>
    </w:p>
    <w:p>
      <w:pPr>
        <w:pStyle w:val="14"/>
        <w:widowControl/>
        <w:numPr>
          <w:ilvl w:val="0"/>
          <w:numId w:val="4"/>
        </w:numPr>
        <w:autoSpaceDE w:val="0"/>
        <w:autoSpaceDN w:val="0"/>
        <w:adjustRightInd w:val="0"/>
        <w:spacing w:line="360" w:lineRule="auto"/>
        <w:ind w:left="0" w:firstLine="640"/>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t>限制性条件自生效日起，如果相关市场的竞争状况发生重大改变，或交易方和集中后实体发生重大变化时，可以向市场监管总局申请变更或解除限制性条件。</w:t>
      </w:r>
    </w:p>
    <w:p>
      <w:pPr>
        <w:widowControl/>
        <w:spacing w:after="120" w:line="360" w:lineRule="auto"/>
        <w:jc w:val="center"/>
        <w:rPr>
          <w:rFonts w:eastAsia="黑体" w:cs="Times New Roman"/>
          <w:bCs/>
          <w:sz w:val="32"/>
          <w:szCs w:val="32"/>
        </w:rPr>
      </w:pPr>
    </w:p>
    <w:p>
      <w:pPr>
        <w:widowControl/>
        <w:spacing w:after="120" w:line="360" w:lineRule="auto"/>
        <w:jc w:val="center"/>
        <w:rPr>
          <w:rFonts w:eastAsia="黑体" w:cs="Times New Roman"/>
          <w:bCs/>
          <w:sz w:val="32"/>
          <w:szCs w:val="32"/>
        </w:rPr>
      </w:pPr>
      <w:r>
        <w:rPr>
          <w:rFonts w:eastAsia="黑体"/>
          <w:bCs/>
          <w:sz w:val="32"/>
          <w:szCs w:val="32"/>
        </w:rPr>
        <w:t>第五部分</w:t>
      </w:r>
      <w:r>
        <w:rPr>
          <w:rFonts w:hint="eastAsia" w:eastAsia="黑体"/>
          <w:bCs/>
          <w:sz w:val="32"/>
          <w:szCs w:val="32"/>
        </w:rPr>
        <w:t xml:space="preserve"> </w:t>
      </w:r>
      <w:r>
        <w:rPr>
          <w:rFonts w:eastAsia="黑体" w:cs="Times New Roman"/>
          <w:bCs/>
          <w:sz w:val="32"/>
          <w:szCs w:val="32"/>
        </w:rPr>
        <w:t>效力</w:t>
      </w:r>
    </w:p>
    <w:p>
      <w:pPr>
        <w:spacing w:after="120" w:line="360" w:lineRule="auto"/>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承诺方案自生效日起生效。</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A0F3C52" w:usb2="00000016" w:usb3="00000000" w:csb0="0004001F" w:csb1="00000000"/>
  </w:font>
  <w:font w:name="方正书宋_GBK">
    <w:panose1 w:val="02000000000000000000"/>
    <w:charset w:val="86"/>
    <w:family w:val="auto"/>
    <w:pitch w:val="default"/>
    <w:sig w:usb0="00000001" w:usb1="08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等线 Light">
    <w:altName w:val="华文中宋"/>
    <w:panose1 w:val="02010600030101010101"/>
    <w:charset w:val="86"/>
    <w:family w:val="auto"/>
    <w:pitch w:val="default"/>
    <w:sig w:usb0="00000000" w:usb1="00000000" w:usb2="00000016" w:usb3="00000000" w:csb0="0004000F"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ascii="Times New Roman" w:hAnsi="Times New Roman" w:cs="Times New Roman"/>
      </w:rPr>
    </w:pPr>
    <w:r>
      <w:rPr>
        <w:rFonts w:ascii="Times New Roman" w:hAnsi="Times New Roman" w:cs="Times New Roman"/>
        <w:b/>
        <w:bCs/>
      </w:rPr>
      <w:fldChar w:fldCharType="begin"/>
    </w:r>
    <w:r>
      <w:rPr>
        <w:rFonts w:ascii="Times New Roman" w:hAnsi="Times New Roman" w:cs="Times New Roman"/>
        <w:b/>
        <w:bCs/>
      </w:rPr>
      <w:instrText xml:space="preserve">PAGE  \* Arabic  \* MERGEFORMAT</w:instrText>
    </w:r>
    <w:r>
      <w:rPr>
        <w:rFonts w:ascii="Times New Roman" w:hAnsi="Times New Roman" w:cs="Times New Roman"/>
        <w:b/>
        <w:bCs/>
      </w:rPr>
      <w:fldChar w:fldCharType="separate"/>
    </w:r>
    <w:r>
      <w:rPr>
        <w:rFonts w:ascii="Times New Roman" w:hAnsi="Times New Roman" w:cs="Times New Roman"/>
        <w:b/>
        <w:bCs/>
        <w:lang w:val="zh-CN"/>
      </w:rPr>
      <w:t>1</w:t>
    </w:r>
    <w:r>
      <w:rPr>
        <w:rFonts w:ascii="Times New Roman" w:hAnsi="Times New Roman" w:cs="Times New Roman"/>
        <w:b/>
        <w:bCs/>
      </w:rPr>
      <w:fldChar w:fldCharType="end"/>
    </w:r>
    <w:r>
      <w:rPr>
        <w:rFonts w:ascii="Times New Roman" w:hAnsi="Times New Roman" w:cs="Times New Roman"/>
        <w:lang w:val="zh-CN"/>
      </w:rPr>
      <w:t xml:space="preserve"> / </w:t>
    </w:r>
    <w:r>
      <w:rPr>
        <w:rFonts w:ascii="Times New Roman" w:hAnsi="Times New Roman" w:cs="Times New Roman"/>
        <w:b/>
        <w:bCs/>
      </w:rPr>
      <w:fldChar w:fldCharType="begin"/>
    </w:r>
    <w:r>
      <w:rPr>
        <w:rFonts w:ascii="Times New Roman" w:hAnsi="Times New Roman" w:cs="Times New Roman"/>
        <w:b/>
        <w:bCs/>
      </w:rPr>
      <w:instrText xml:space="preserve">NUMPAGES  \* Arabic  \* MERGEFORMAT</w:instrText>
    </w:r>
    <w:r>
      <w:rPr>
        <w:rFonts w:ascii="Times New Roman" w:hAnsi="Times New Roman" w:cs="Times New Roman"/>
        <w:b/>
        <w:bCs/>
      </w:rPr>
      <w:fldChar w:fldCharType="separate"/>
    </w:r>
    <w:r>
      <w:rPr>
        <w:rFonts w:ascii="Times New Roman" w:hAnsi="Times New Roman" w:cs="Times New Roman"/>
        <w:b/>
        <w:bCs/>
        <w:lang w:val="zh-CN"/>
      </w:rPr>
      <w:t>2</w:t>
    </w:r>
    <w:r>
      <w:rPr>
        <w:rFonts w:ascii="Times New Roman" w:hAnsi="Times New Roman" w:cs="Times New Roman"/>
        <w:b/>
        <w:bCs/>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widowControl/>
      <w:pBdr>
        <w:bottom w:val="none" w:color="auto" w:sz="0" w:space="0"/>
      </w:pBdr>
      <w:tabs>
        <w:tab w:val="center" w:pos="4500"/>
      </w:tabs>
      <w:autoSpaceDE w:val="0"/>
      <w:autoSpaceDN w:val="0"/>
      <w:adjustRightInd w:val="0"/>
      <w:jc w:val="right"/>
      <w:rPr>
        <w:rFonts w:ascii="黑体" w:hAnsi="黑体" w:eastAsia="黑体" w:cs="宋体"/>
        <w:b/>
        <w:bCs/>
        <w:kern w:val="0"/>
        <w:sz w:val="21"/>
        <w:szCs w:val="21"/>
      </w:rPr>
    </w:pPr>
    <w:r>
      <w:rPr>
        <w:rFonts w:hint="eastAsia" w:ascii="黑体" w:hAnsi="黑体" w:eastAsia="黑体" w:cs="宋体"/>
        <w:b/>
        <w:bCs/>
        <w:kern w:val="0"/>
        <w:sz w:val="21"/>
        <w:szCs w:val="21"/>
      </w:rPr>
      <w:t>公开版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CA6068D"/>
    <w:multiLevelType w:val="multilevel"/>
    <w:tmpl w:val="2CA6068D"/>
    <w:lvl w:ilvl="0" w:tentative="0">
      <w:start w:val="1"/>
      <w:numFmt w:val="bullet"/>
      <w:lvlText w:val=""/>
      <w:lvlJc w:val="left"/>
      <w:pPr>
        <w:ind w:left="1580" w:hanging="440"/>
      </w:pPr>
      <w:rPr>
        <w:rFonts w:hint="default" w:ascii="Wingdings" w:hAnsi="Wingdings"/>
      </w:rPr>
    </w:lvl>
    <w:lvl w:ilvl="1" w:tentative="0">
      <w:start w:val="1"/>
      <w:numFmt w:val="bullet"/>
      <w:lvlText w:val=""/>
      <w:lvlJc w:val="left"/>
      <w:pPr>
        <w:ind w:left="2020" w:hanging="440"/>
      </w:pPr>
      <w:rPr>
        <w:rFonts w:hint="default" w:ascii="Wingdings" w:hAnsi="Wingdings"/>
      </w:rPr>
    </w:lvl>
    <w:lvl w:ilvl="2" w:tentative="0">
      <w:start w:val="1"/>
      <w:numFmt w:val="bullet"/>
      <w:lvlText w:val=""/>
      <w:lvlJc w:val="left"/>
      <w:pPr>
        <w:ind w:left="2460" w:hanging="440"/>
      </w:pPr>
      <w:rPr>
        <w:rFonts w:hint="default" w:ascii="Wingdings" w:hAnsi="Wingdings"/>
      </w:rPr>
    </w:lvl>
    <w:lvl w:ilvl="3" w:tentative="0">
      <w:start w:val="1"/>
      <w:numFmt w:val="bullet"/>
      <w:lvlText w:val=""/>
      <w:lvlJc w:val="left"/>
      <w:pPr>
        <w:ind w:left="2900" w:hanging="440"/>
      </w:pPr>
      <w:rPr>
        <w:rFonts w:hint="default" w:ascii="Wingdings" w:hAnsi="Wingdings"/>
      </w:rPr>
    </w:lvl>
    <w:lvl w:ilvl="4" w:tentative="0">
      <w:start w:val="1"/>
      <w:numFmt w:val="bullet"/>
      <w:lvlText w:val=""/>
      <w:lvlJc w:val="left"/>
      <w:pPr>
        <w:ind w:left="3340" w:hanging="440"/>
      </w:pPr>
      <w:rPr>
        <w:rFonts w:hint="default" w:ascii="Wingdings" w:hAnsi="Wingdings"/>
      </w:rPr>
    </w:lvl>
    <w:lvl w:ilvl="5" w:tentative="0">
      <w:start w:val="1"/>
      <w:numFmt w:val="bullet"/>
      <w:lvlText w:val=""/>
      <w:lvlJc w:val="left"/>
      <w:pPr>
        <w:ind w:left="3780" w:hanging="440"/>
      </w:pPr>
      <w:rPr>
        <w:rFonts w:hint="default" w:ascii="Wingdings" w:hAnsi="Wingdings"/>
      </w:rPr>
    </w:lvl>
    <w:lvl w:ilvl="6" w:tentative="0">
      <w:start w:val="1"/>
      <w:numFmt w:val="bullet"/>
      <w:lvlText w:val=""/>
      <w:lvlJc w:val="left"/>
      <w:pPr>
        <w:ind w:left="4220" w:hanging="440"/>
      </w:pPr>
      <w:rPr>
        <w:rFonts w:hint="default" w:ascii="Wingdings" w:hAnsi="Wingdings"/>
      </w:rPr>
    </w:lvl>
    <w:lvl w:ilvl="7" w:tentative="0">
      <w:start w:val="1"/>
      <w:numFmt w:val="bullet"/>
      <w:lvlText w:val=""/>
      <w:lvlJc w:val="left"/>
      <w:pPr>
        <w:ind w:left="4660" w:hanging="440"/>
      </w:pPr>
      <w:rPr>
        <w:rFonts w:hint="default" w:ascii="Wingdings" w:hAnsi="Wingdings"/>
      </w:rPr>
    </w:lvl>
    <w:lvl w:ilvl="8" w:tentative="0">
      <w:start w:val="1"/>
      <w:numFmt w:val="bullet"/>
      <w:lvlText w:val=""/>
      <w:lvlJc w:val="left"/>
      <w:pPr>
        <w:ind w:left="5100" w:hanging="440"/>
      </w:pPr>
      <w:rPr>
        <w:rFonts w:hint="default" w:ascii="Wingdings" w:hAnsi="Wingdings"/>
      </w:rPr>
    </w:lvl>
  </w:abstractNum>
  <w:abstractNum w:abstractNumId="1">
    <w:nsid w:val="338365F9"/>
    <w:multiLevelType w:val="multilevel"/>
    <w:tmpl w:val="338365F9"/>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2">
    <w:nsid w:val="354D046A"/>
    <w:multiLevelType w:val="multilevel"/>
    <w:tmpl w:val="354D046A"/>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abstractNum w:abstractNumId="3">
    <w:nsid w:val="73443EF2"/>
    <w:multiLevelType w:val="multilevel"/>
    <w:tmpl w:val="73443EF2"/>
    <w:lvl w:ilvl="0" w:tentative="0">
      <w:start w:val="1"/>
      <w:numFmt w:val="decimal"/>
      <w:lvlText w:val="%1."/>
      <w:lvlJc w:val="left"/>
      <w:pPr>
        <w:ind w:left="860" w:hanging="440"/>
      </w:pPr>
    </w:lvl>
    <w:lvl w:ilvl="1" w:tentative="0">
      <w:start w:val="1"/>
      <w:numFmt w:val="lowerLetter"/>
      <w:lvlText w:val="%2)"/>
      <w:lvlJc w:val="left"/>
      <w:pPr>
        <w:ind w:left="1300" w:hanging="440"/>
      </w:pPr>
    </w:lvl>
    <w:lvl w:ilvl="2" w:tentative="0">
      <w:start w:val="1"/>
      <w:numFmt w:val="lowerRoman"/>
      <w:lvlText w:val="%3."/>
      <w:lvlJc w:val="right"/>
      <w:pPr>
        <w:ind w:left="1740" w:hanging="440"/>
      </w:pPr>
    </w:lvl>
    <w:lvl w:ilvl="3" w:tentative="0">
      <w:start w:val="1"/>
      <w:numFmt w:val="decimal"/>
      <w:lvlText w:val="%4."/>
      <w:lvlJc w:val="left"/>
      <w:pPr>
        <w:ind w:left="2180" w:hanging="440"/>
      </w:pPr>
    </w:lvl>
    <w:lvl w:ilvl="4" w:tentative="0">
      <w:start w:val="1"/>
      <w:numFmt w:val="lowerLetter"/>
      <w:lvlText w:val="%5)"/>
      <w:lvlJc w:val="left"/>
      <w:pPr>
        <w:ind w:left="2620" w:hanging="440"/>
      </w:pPr>
    </w:lvl>
    <w:lvl w:ilvl="5" w:tentative="0">
      <w:start w:val="1"/>
      <w:numFmt w:val="lowerRoman"/>
      <w:lvlText w:val="%6."/>
      <w:lvlJc w:val="right"/>
      <w:pPr>
        <w:ind w:left="3060" w:hanging="440"/>
      </w:pPr>
    </w:lvl>
    <w:lvl w:ilvl="6" w:tentative="0">
      <w:start w:val="1"/>
      <w:numFmt w:val="decimal"/>
      <w:lvlText w:val="%7."/>
      <w:lvlJc w:val="left"/>
      <w:pPr>
        <w:ind w:left="3500" w:hanging="440"/>
      </w:pPr>
    </w:lvl>
    <w:lvl w:ilvl="7" w:tentative="0">
      <w:start w:val="1"/>
      <w:numFmt w:val="lowerLetter"/>
      <w:lvlText w:val="%8)"/>
      <w:lvlJc w:val="left"/>
      <w:pPr>
        <w:ind w:left="3940" w:hanging="440"/>
      </w:pPr>
    </w:lvl>
    <w:lvl w:ilvl="8" w:tentative="0">
      <w:start w:val="1"/>
      <w:numFmt w:val="lowerRoman"/>
      <w:lvlText w:val="%9."/>
      <w:lvlJc w:val="right"/>
      <w:pPr>
        <w:ind w:left="4380" w:hanging="44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22F"/>
    <w:rsid w:val="00015C29"/>
    <w:rsid w:val="00017370"/>
    <w:rsid w:val="00030724"/>
    <w:rsid w:val="00035B8D"/>
    <w:rsid w:val="0005015C"/>
    <w:rsid w:val="00056CA5"/>
    <w:rsid w:val="000668D6"/>
    <w:rsid w:val="00080A62"/>
    <w:rsid w:val="0009134E"/>
    <w:rsid w:val="000A6F17"/>
    <w:rsid w:val="000D51E9"/>
    <w:rsid w:val="000F00C1"/>
    <w:rsid w:val="001214FE"/>
    <w:rsid w:val="001554F4"/>
    <w:rsid w:val="0016320C"/>
    <w:rsid w:val="00165D92"/>
    <w:rsid w:val="001844FA"/>
    <w:rsid w:val="00193153"/>
    <w:rsid w:val="001C1FEE"/>
    <w:rsid w:val="001E4BD0"/>
    <w:rsid w:val="001F20F8"/>
    <w:rsid w:val="00201935"/>
    <w:rsid w:val="00266D81"/>
    <w:rsid w:val="0028683A"/>
    <w:rsid w:val="002A474B"/>
    <w:rsid w:val="002B5BBB"/>
    <w:rsid w:val="002E30BE"/>
    <w:rsid w:val="0030356B"/>
    <w:rsid w:val="00312EFD"/>
    <w:rsid w:val="00314472"/>
    <w:rsid w:val="00321DB8"/>
    <w:rsid w:val="00335A4B"/>
    <w:rsid w:val="003426B4"/>
    <w:rsid w:val="00344FCD"/>
    <w:rsid w:val="00346793"/>
    <w:rsid w:val="003615BC"/>
    <w:rsid w:val="00364C7C"/>
    <w:rsid w:val="003833F7"/>
    <w:rsid w:val="0039504C"/>
    <w:rsid w:val="00397AB6"/>
    <w:rsid w:val="003B1243"/>
    <w:rsid w:val="003C019E"/>
    <w:rsid w:val="003E42D8"/>
    <w:rsid w:val="003F1487"/>
    <w:rsid w:val="004027F8"/>
    <w:rsid w:val="00404679"/>
    <w:rsid w:val="004335CC"/>
    <w:rsid w:val="00447BB7"/>
    <w:rsid w:val="004B0791"/>
    <w:rsid w:val="004B7D26"/>
    <w:rsid w:val="004D21A0"/>
    <w:rsid w:val="004D2289"/>
    <w:rsid w:val="004D4D16"/>
    <w:rsid w:val="004D6A2F"/>
    <w:rsid w:val="004E4C7D"/>
    <w:rsid w:val="004F058E"/>
    <w:rsid w:val="00510656"/>
    <w:rsid w:val="0051399B"/>
    <w:rsid w:val="00524594"/>
    <w:rsid w:val="00530631"/>
    <w:rsid w:val="005324EE"/>
    <w:rsid w:val="005558C9"/>
    <w:rsid w:val="005703A7"/>
    <w:rsid w:val="0057115C"/>
    <w:rsid w:val="005728BB"/>
    <w:rsid w:val="00580EC6"/>
    <w:rsid w:val="005A6F1A"/>
    <w:rsid w:val="005E6B3A"/>
    <w:rsid w:val="006120C8"/>
    <w:rsid w:val="00642E05"/>
    <w:rsid w:val="006823AE"/>
    <w:rsid w:val="006A1D89"/>
    <w:rsid w:val="006B2018"/>
    <w:rsid w:val="006C56D2"/>
    <w:rsid w:val="006E39BD"/>
    <w:rsid w:val="0070558F"/>
    <w:rsid w:val="00724944"/>
    <w:rsid w:val="0073132A"/>
    <w:rsid w:val="00736FD6"/>
    <w:rsid w:val="007407EC"/>
    <w:rsid w:val="00753016"/>
    <w:rsid w:val="007567C2"/>
    <w:rsid w:val="00766CE1"/>
    <w:rsid w:val="00775502"/>
    <w:rsid w:val="007776FE"/>
    <w:rsid w:val="00784E99"/>
    <w:rsid w:val="007A4CF8"/>
    <w:rsid w:val="007A6EAE"/>
    <w:rsid w:val="007B273C"/>
    <w:rsid w:val="007D0831"/>
    <w:rsid w:val="007F3F07"/>
    <w:rsid w:val="007F6C6D"/>
    <w:rsid w:val="00803110"/>
    <w:rsid w:val="00816E8A"/>
    <w:rsid w:val="00825A74"/>
    <w:rsid w:val="00833479"/>
    <w:rsid w:val="00836ED7"/>
    <w:rsid w:val="008450CC"/>
    <w:rsid w:val="0085403B"/>
    <w:rsid w:val="008570D8"/>
    <w:rsid w:val="008700BB"/>
    <w:rsid w:val="00874222"/>
    <w:rsid w:val="008B3803"/>
    <w:rsid w:val="008D6B87"/>
    <w:rsid w:val="008E2F0E"/>
    <w:rsid w:val="008E2F9A"/>
    <w:rsid w:val="00910DA0"/>
    <w:rsid w:val="0091138B"/>
    <w:rsid w:val="009123FE"/>
    <w:rsid w:val="0091422B"/>
    <w:rsid w:val="00922495"/>
    <w:rsid w:val="009312CB"/>
    <w:rsid w:val="00932764"/>
    <w:rsid w:val="00965C0C"/>
    <w:rsid w:val="009908D3"/>
    <w:rsid w:val="00990B2F"/>
    <w:rsid w:val="009C6169"/>
    <w:rsid w:val="009F07DF"/>
    <w:rsid w:val="00A0222F"/>
    <w:rsid w:val="00A73B45"/>
    <w:rsid w:val="00A90EB1"/>
    <w:rsid w:val="00AA7904"/>
    <w:rsid w:val="00AD0356"/>
    <w:rsid w:val="00B00440"/>
    <w:rsid w:val="00B040ED"/>
    <w:rsid w:val="00B15544"/>
    <w:rsid w:val="00B21E13"/>
    <w:rsid w:val="00B22179"/>
    <w:rsid w:val="00B242E1"/>
    <w:rsid w:val="00B533FF"/>
    <w:rsid w:val="00B60995"/>
    <w:rsid w:val="00B6580F"/>
    <w:rsid w:val="00B71F7F"/>
    <w:rsid w:val="00B73B5A"/>
    <w:rsid w:val="00B8380D"/>
    <w:rsid w:val="00B846B3"/>
    <w:rsid w:val="00B87807"/>
    <w:rsid w:val="00B87E70"/>
    <w:rsid w:val="00BA38E4"/>
    <w:rsid w:val="00BB10E8"/>
    <w:rsid w:val="00BC02FE"/>
    <w:rsid w:val="00BC0C2E"/>
    <w:rsid w:val="00BC63E6"/>
    <w:rsid w:val="00BD0B74"/>
    <w:rsid w:val="00BD3CAC"/>
    <w:rsid w:val="00BD50A1"/>
    <w:rsid w:val="00BF4315"/>
    <w:rsid w:val="00C35BB4"/>
    <w:rsid w:val="00C35F1E"/>
    <w:rsid w:val="00C373AA"/>
    <w:rsid w:val="00C547DA"/>
    <w:rsid w:val="00C75569"/>
    <w:rsid w:val="00C77E85"/>
    <w:rsid w:val="00CD0AC8"/>
    <w:rsid w:val="00CD617C"/>
    <w:rsid w:val="00D1550C"/>
    <w:rsid w:val="00D16B55"/>
    <w:rsid w:val="00D17A12"/>
    <w:rsid w:val="00D55FAA"/>
    <w:rsid w:val="00D60381"/>
    <w:rsid w:val="00D66C3C"/>
    <w:rsid w:val="00D7031C"/>
    <w:rsid w:val="00D80F3E"/>
    <w:rsid w:val="00D94858"/>
    <w:rsid w:val="00DA1181"/>
    <w:rsid w:val="00DA72C4"/>
    <w:rsid w:val="00DC74E9"/>
    <w:rsid w:val="00DE72E5"/>
    <w:rsid w:val="00E00B80"/>
    <w:rsid w:val="00E06A28"/>
    <w:rsid w:val="00E07DD4"/>
    <w:rsid w:val="00E25A95"/>
    <w:rsid w:val="00E463C9"/>
    <w:rsid w:val="00E667C6"/>
    <w:rsid w:val="00E822BF"/>
    <w:rsid w:val="00E83C3B"/>
    <w:rsid w:val="00E923C7"/>
    <w:rsid w:val="00E92966"/>
    <w:rsid w:val="00EA4079"/>
    <w:rsid w:val="00EB40A2"/>
    <w:rsid w:val="00EC6510"/>
    <w:rsid w:val="00EC6B8F"/>
    <w:rsid w:val="00F05619"/>
    <w:rsid w:val="00F25F14"/>
    <w:rsid w:val="00F56040"/>
    <w:rsid w:val="00F5680A"/>
    <w:rsid w:val="00FB1122"/>
    <w:rsid w:val="00FC320F"/>
    <w:rsid w:val="00FD05B9"/>
    <w:rsid w:val="00FE7193"/>
    <w:rsid w:val="00FF7A67"/>
    <w:rsid w:val="3E559851"/>
    <w:rsid w:val="5F6F34E4"/>
    <w:rsid w:val="B9F61500"/>
    <w:rsid w:val="EF9DF1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footer"/>
    <w:basedOn w:val="1"/>
    <w:link w:val="11"/>
    <w:unhideWhenUsed/>
    <w:qFormat/>
    <w:uiPriority w:val="99"/>
    <w:pPr>
      <w:tabs>
        <w:tab w:val="center" w:pos="4153"/>
        <w:tab w:val="right" w:pos="8306"/>
      </w:tabs>
      <w:snapToGrid w:val="0"/>
      <w:jc w:val="left"/>
    </w:pPr>
    <w:rPr>
      <w:sz w:val="18"/>
      <w:szCs w:val="18"/>
    </w:rPr>
  </w:style>
  <w:style w:type="paragraph" w:styleId="4">
    <w:name w:val="header"/>
    <w:basedOn w:val="1"/>
    <w:link w:val="10"/>
    <w:unhideWhenUsed/>
    <w:qFormat/>
    <w:uiPriority w:val="9"/>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13"/>
    <w:qFormat/>
    <w:uiPriority w:val="10"/>
    <w:pPr>
      <w:spacing w:before="240" w:after="60"/>
      <w:jc w:val="center"/>
      <w:outlineLvl w:val="0"/>
    </w:pPr>
    <w:rPr>
      <w:rFonts w:asciiTheme="majorHAnsi" w:hAnsiTheme="majorHAnsi" w:eastAsiaTheme="majorEastAsia" w:cstheme="majorBidi"/>
      <w:b/>
      <w:bCs/>
      <w:sz w:val="32"/>
      <w:szCs w:val="32"/>
    </w:rPr>
  </w:style>
  <w:style w:type="paragraph" w:styleId="6">
    <w:name w:val="annotation subject"/>
    <w:basedOn w:val="2"/>
    <w:next w:val="2"/>
    <w:link w:val="17"/>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4"/>
    <w:qFormat/>
    <w:uiPriority w:val="9"/>
    <w:rPr>
      <w:sz w:val="18"/>
      <w:szCs w:val="18"/>
    </w:rPr>
  </w:style>
  <w:style w:type="character" w:customStyle="1" w:styleId="11">
    <w:name w:val="页脚 字符"/>
    <w:basedOn w:val="8"/>
    <w:link w:val="3"/>
    <w:qFormat/>
    <w:uiPriority w:val="99"/>
    <w:rPr>
      <w:sz w:val="18"/>
      <w:szCs w:val="18"/>
    </w:rPr>
  </w:style>
  <w:style w:type="paragraph" w:customStyle="1" w:styleId="12">
    <w:name w:val="一级标题"/>
    <w:basedOn w:val="5"/>
    <w:qFormat/>
    <w:uiPriority w:val="0"/>
    <w:pPr>
      <w:widowControl/>
      <w:adjustRightInd w:val="0"/>
      <w:spacing w:line="440" w:lineRule="exact"/>
      <w:ind w:firstLine="640" w:firstLineChars="200"/>
    </w:pPr>
    <w:rPr>
      <w:rFonts w:ascii="华文中宋" w:hAnsi="华文中宋" w:eastAsia="华文中宋" w:cs="Times New Roman"/>
      <w:bCs w:val="0"/>
      <w:kern w:val="0"/>
      <w:szCs w:val="30"/>
      <w:lang w:val="en-GB" w:eastAsia="en-US"/>
    </w:rPr>
  </w:style>
  <w:style w:type="character" w:customStyle="1" w:styleId="13">
    <w:name w:val="标题 字符"/>
    <w:basedOn w:val="8"/>
    <w:link w:val="5"/>
    <w:qFormat/>
    <w:uiPriority w:val="10"/>
    <w:rPr>
      <w:rFonts w:asciiTheme="majorHAnsi" w:hAnsiTheme="majorHAnsi" w:eastAsiaTheme="majorEastAsia" w:cstheme="majorBidi"/>
      <w:b/>
      <w:bCs/>
      <w:sz w:val="32"/>
      <w:szCs w:val="32"/>
    </w:rPr>
  </w:style>
  <w:style w:type="paragraph" w:styleId="14">
    <w:name w:val="List Paragraph"/>
    <w:basedOn w:val="1"/>
    <w:link w:val="18"/>
    <w:qFormat/>
    <w:uiPriority w:val="34"/>
    <w:pPr>
      <w:ind w:firstLine="420" w:firstLineChars="200"/>
    </w:pPr>
  </w:style>
  <w:style w:type="paragraph" w:customStyle="1" w:styleId="15">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6">
    <w:name w:val="批注文字 字符"/>
    <w:basedOn w:val="8"/>
    <w:link w:val="2"/>
    <w:qFormat/>
    <w:uiPriority w:val="99"/>
  </w:style>
  <w:style w:type="character" w:customStyle="1" w:styleId="17">
    <w:name w:val="批注主题 字符"/>
    <w:basedOn w:val="16"/>
    <w:link w:val="6"/>
    <w:semiHidden/>
    <w:qFormat/>
    <w:uiPriority w:val="99"/>
    <w:rPr>
      <w:b/>
      <w:bCs/>
    </w:rPr>
  </w:style>
  <w:style w:type="character" w:customStyle="1" w:styleId="18">
    <w:name w:val="列表段落 字符"/>
    <w:link w:val="14"/>
    <w:qFormat/>
    <w:locked/>
    <w:uiPriority w:val="34"/>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494</Words>
  <Characters>2820</Characters>
  <Lines>23</Lines>
  <Paragraphs>6</Paragraphs>
  <TotalTime>11</TotalTime>
  <ScaleCrop>false</ScaleCrop>
  <LinksUpToDate>false</LinksUpToDate>
  <CharactersWithSpaces>3308</CharactersWithSpaces>
  <Application>WPS Office_11.8.2.11653_F1E327BC-269C-435d-A152-05C5408002CA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2024-05-12T18:22:00Z</dcterms:created>
  <dc:creator>JunHe</dc:creator>
  <cp:lastModifiedBy>oa</cp:lastModifiedBy>
  <dcterms:modified xsi:type="dcterms:W3CDTF">2024-06-11T15:44:18Z</dcterms:modified>
  <dc:title>关于JX金属株式会社收购</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2052-11.8.2.11653</vt:lpwstr>
  </property>
  <property fmtid="{D5CDD505-2E9C-101B-9397-08002B2CF9AE}" pid="3" name="ICV">
    <vt:lpwstr>5DA87AABADF17F1E0CE05666535CA396</vt:lpwstr>
  </property>
</Properties>
</file>