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EAA" w:rsidRDefault="00E763E8">
      <w:pPr>
        <w:spacing w:beforeLines="50" w:before="156" w:afterLines="50" w:after="156" w:line="360" w:lineRule="auto"/>
        <w:jc w:val="center"/>
        <w:rPr>
          <w:rFonts w:ascii="宋体" w:hAnsi="宋体"/>
          <w:b/>
          <w:bCs/>
          <w:kern w:val="2"/>
        </w:rPr>
      </w:pPr>
      <w:r>
        <w:rPr>
          <w:rFonts w:ascii="宋体" w:hAnsi="宋体" w:cs="Times New Roman"/>
          <w:bCs/>
          <w:kern w:val="2"/>
        </w:rPr>
        <w:t>关于</w:t>
      </w:r>
      <w:r>
        <w:rPr>
          <w:rFonts w:ascii="宋体" w:hAnsi="宋体" w:cs="Times New Roman" w:hint="eastAsia"/>
          <w:bCs/>
          <w:kern w:val="2"/>
        </w:rPr>
        <w:t>万华化学集团股份有限公司收购烟台巨力精细化工股份有限公司股权案的</w:t>
      </w:r>
      <w:r>
        <w:rPr>
          <w:rFonts w:ascii="宋体" w:hAnsi="宋体" w:cs="Times New Roman"/>
          <w:bCs/>
          <w:kern w:val="2"/>
        </w:rPr>
        <w:t>附加限制性条件承诺方案</w:t>
      </w:r>
    </w:p>
    <w:p w:rsidR="00657EAA" w:rsidRDefault="00E763E8">
      <w:pPr>
        <w:widowControl w:val="0"/>
        <w:spacing w:beforeLines="50" w:before="156" w:afterLines="50" w:after="156"/>
        <w:jc w:val="center"/>
        <w:rPr>
          <w:rFonts w:ascii="宋体" w:hAnsi="宋体" w:cs="Times New Roman"/>
          <w:bCs/>
          <w:kern w:val="2"/>
        </w:rPr>
      </w:pPr>
      <w:r>
        <w:rPr>
          <w:rFonts w:ascii="宋体" w:hAnsi="宋体" w:cs="Times New Roman"/>
          <w:bCs/>
          <w:kern w:val="2"/>
        </w:rPr>
        <w:t>2023年</w:t>
      </w:r>
      <w:r>
        <w:rPr>
          <w:rFonts w:ascii="宋体" w:hAnsi="宋体" w:cs="Times New Roman" w:hint="eastAsia"/>
          <w:bCs/>
          <w:kern w:val="2"/>
        </w:rPr>
        <w:t>3</w:t>
      </w:r>
      <w:r>
        <w:rPr>
          <w:rFonts w:ascii="宋体" w:hAnsi="宋体" w:cs="Times New Roman"/>
          <w:bCs/>
          <w:kern w:val="2"/>
        </w:rPr>
        <w:t>月30日</w:t>
      </w:r>
    </w:p>
    <w:p w:rsidR="00657EAA" w:rsidRDefault="00657EAA">
      <w:pPr>
        <w:widowControl w:val="0"/>
        <w:spacing w:beforeLines="50" w:before="156" w:afterLines="50" w:after="156"/>
        <w:jc w:val="center"/>
        <w:rPr>
          <w:rFonts w:ascii="宋体" w:hAnsi="宋体" w:cs="Times New Roman"/>
          <w:bCs/>
          <w:kern w:val="2"/>
        </w:rPr>
      </w:pPr>
    </w:p>
    <w:p w:rsidR="00657EAA" w:rsidRDefault="00E763E8">
      <w:pPr>
        <w:widowControl w:val="0"/>
        <w:spacing w:line="360" w:lineRule="auto"/>
        <w:ind w:firstLineChars="200" w:firstLine="480"/>
        <w:rPr>
          <w:rFonts w:ascii="宋体" w:hAnsi="宋体" w:cs="Times New Roman"/>
          <w:kern w:val="2"/>
        </w:rPr>
      </w:pPr>
      <w:r>
        <w:rPr>
          <w:rFonts w:ascii="宋体" w:hAnsi="宋体" w:cs="Times New Roman"/>
          <w:kern w:val="2"/>
        </w:rPr>
        <w:t>根据《中华人民共和国反垄断法》</w:t>
      </w:r>
      <w:r>
        <w:rPr>
          <w:rFonts w:ascii="宋体" w:hAnsi="宋体" w:cs="Times New Roman" w:hint="eastAsia"/>
          <w:kern w:val="2"/>
          <w:lang w:eastAsia="zh-Hans"/>
        </w:rPr>
        <w:t>（</w:t>
      </w:r>
      <w:r>
        <w:rPr>
          <w:rFonts w:ascii="宋体" w:hAnsi="宋体" w:cs="Times New Roman" w:hint="eastAsia"/>
          <w:kern w:val="2"/>
          <w:lang w:val="en-US" w:eastAsia="zh-Hans"/>
        </w:rPr>
        <w:t>以下简称“《反垄断法》”</w:t>
      </w:r>
      <w:r>
        <w:rPr>
          <w:rFonts w:ascii="宋体" w:hAnsi="宋体" w:cs="Times New Roman" w:hint="eastAsia"/>
          <w:kern w:val="2"/>
          <w:lang w:eastAsia="zh-Hans"/>
        </w:rPr>
        <w:t>）</w:t>
      </w:r>
      <w:r>
        <w:rPr>
          <w:rFonts w:ascii="宋体" w:hAnsi="宋体" w:cs="Times New Roman" w:hint="eastAsia"/>
          <w:kern w:val="2"/>
          <w:lang w:val="en-US" w:eastAsia="zh-Hans"/>
        </w:rPr>
        <w:t>及其配套规章的规定</w:t>
      </w:r>
      <w:r>
        <w:rPr>
          <w:rFonts w:ascii="宋体" w:hAnsi="宋体" w:cs="Times New Roman"/>
          <w:kern w:val="2"/>
        </w:rPr>
        <w:t>，</w:t>
      </w:r>
      <w:r>
        <w:rPr>
          <w:rFonts w:ascii="宋体" w:hAnsi="宋体" w:cs="Times New Roman" w:hint="eastAsia"/>
          <w:bCs/>
          <w:kern w:val="2"/>
        </w:rPr>
        <w:t>万华化学集团股份有限公司</w:t>
      </w:r>
      <w:r>
        <w:rPr>
          <w:rFonts w:ascii="宋体" w:hAnsi="宋体" w:cs="Times New Roman"/>
          <w:kern w:val="2"/>
        </w:rPr>
        <w:t>（以下简称</w:t>
      </w:r>
      <w:r>
        <w:rPr>
          <w:rFonts w:ascii="宋体" w:hAnsi="宋体" w:cs="Times New Roman" w:hint="eastAsia"/>
          <w:kern w:val="2"/>
        </w:rPr>
        <w:t>“万华</w:t>
      </w:r>
      <w:r>
        <w:rPr>
          <w:rFonts w:ascii="宋体" w:hAnsi="宋体" w:cs="Times New Roman" w:hint="eastAsia"/>
          <w:kern w:val="2"/>
          <w:lang w:val="en-US" w:eastAsia="zh-Hans"/>
        </w:rPr>
        <w:t>化学</w:t>
      </w:r>
      <w:r>
        <w:rPr>
          <w:rFonts w:ascii="宋体" w:hAnsi="宋体" w:cs="Times New Roman" w:hint="eastAsia"/>
          <w:kern w:val="2"/>
        </w:rPr>
        <w:t>”</w:t>
      </w:r>
      <w:r>
        <w:rPr>
          <w:rFonts w:ascii="宋体" w:hAnsi="宋体" w:cs="Times New Roman"/>
          <w:kern w:val="2"/>
        </w:rPr>
        <w:t>）</w:t>
      </w:r>
      <w:r>
        <w:rPr>
          <w:rFonts w:ascii="宋体" w:hAnsi="宋体" w:cs="Times New Roman" w:hint="eastAsia"/>
          <w:kern w:val="2"/>
        </w:rPr>
        <w:t>和</w:t>
      </w:r>
      <w:r>
        <w:rPr>
          <w:rFonts w:ascii="宋体" w:hAnsi="宋体" w:cs="Times New Roman" w:hint="eastAsia"/>
          <w:bCs/>
          <w:kern w:val="2"/>
        </w:rPr>
        <w:t>烟台巨力精细化工股份有限公司（以下简称“</w:t>
      </w:r>
      <w:r>
        <w:rPr>
          <w:rFonts w:ascii="宋体" w:hAnsi="宋体" w:cs="Times New Roman"/>
          <w:bCs/>
          <w:kern w:val="2"/>
        </w:rPr>
        <w:t>烟台巨力</w:t>
      </w:r>
      <w:r>
        <w:rPr>
          <w:rFonts w:ascii="宋体" w:hAnsi="宋体" w:cs="Times New Roman" w:hint="eastAsia"/>
          <w:bCs/>
          <w:kern w:val="2"/>
        </w:rPr>
        <w:t>”）</w:t>
      </w:r>
      <w:r>
        <w:rPr>
          <w:rFonts w:ascii="宋体" w:hAnsi="宋体" w:cs="Times New Roman"/>
          <w:bCs/>
          <w:kern w:val="2"/>
          <w:lang w:val="en-US"/>
        </w:rPr>
        <w:t>谨此就</w:t>
      </w:r>
      <w:r>
        <w:rPr>
          <w:rFonts w:ascii="宋体" w:hAnsi="宋体" w:cs="Times New Roman"/>
          <w:kern w:val="2"/>
        </w:rPr>
        <w:t>万华化学</w:t>
      </w:r>
      <w:r>
        <w:rPr>
          <w:rFonts w:ascii="宋体" w:hAnsi="宋体" w:cs="Times New Roman" w:hint="eastAsia"/>
          <w:kern w:val="2"/>
        </w:rPr>
        <w:t>收购</w:t>
      </w:r>
      <w:r>
        <w:rPr>
          <w:rFonts w:ascii="宋体" w:hAnsi="宋体" w:cs="Times New Roman"/>
          <w:kern w:val="2"/>
        </w:rPr>
        <w:t>烟台巨力</w:t>
      </w:r>
      <w:r>
        <w:rPr>
          <w:rFonts w:ascii="宋体" w:hAnsi="宋体" w:cs="Times New Roman" w:hint="eastAsia"/>
          <w:bCs/>
          <w:kern w:val="2"/>
        </w:rPr>
        <w:t>股权案事宜</w:t>
      </w:r>
      <w:r>
        <w:rPr>
          <w:rFonts w:ascii="宋体" w:hAnsi="宋体" w:cs="Times New Roman"/>
          <w:kern w:val="2"/>
        </w:rPr>
        <w:t>向国家市场监督管理总局（以下简称</w:t>
      </w:r>
      <w:r>
        <w:rPr>
          <w:rFonts w:ascii="宋体" w:hAnsi="宋体" w:cs="Times New Roman" w:hint="eastAsia"/>
          <w:kern w:val="2"/>
        </w:rPr>
        <w:t>“</w:t>
      </w:r>
      <w:r>
        <w:rPr>
          <w:rFonts w:ascii="宋体" w:hAnsi="宋体" w:cs="Times New Roman"/>
          <w:kern w:val="2"/>
        </w:rPr>
        <w:t>市场监管总局</w:t>
      </w:r>
      <w:r>
        <w:rPr>
          <w:rFonts w:ascii="宋体" w:hAnsi="宋体" w:cs="Times New Roman" w:hint="eastAsia"/>
          <w:kern w:val="2"/>
        </w:rPr>
        <w:t>”</w:t>
      </w:r>
      <w:r>
        <w:rPr>
          <w:rFonts w:ascii="宋体" w:hAnsi="宋体" w:cs="Times New Roman"/>
          <w:kern w:val="2"/>
        </w:rPr>
        <w:t>）提交以下附加限制性条件的承诺方案（以下简称</w:t>
      </w:r>
      <w:r>
        <w:rPr>
          <w:rFonts w:ascii="宋体" w:hAnsi="宋体" w:cs="Times New Roman" w:hint="eastAsia"/>
          <w:kern w:val="2"/>
        </w:rPr>
        <w:t>“</w:t>
      </w:r>
      <w:r>
        <w:rPr>
          <w:rFonts w:ascii="宋体" w:hAnsi="宋体" w:cs="Times New Roman"/>
          <w:kern w:val="2"/>
        </w:rPr>
        <w:t>承诺方案</w:t>
      </w:r>
      <w:r>
        <w:rPr>
          <w:rFonts w:ascii="宋体" w:hAnsi="宋体" w:cs="Times New Roman" w:hint="eastAsia"/>
          <w:kern w:val="2"/>
        </w:rPr>
        <w:t>”</w:t>
      </w:r>
      <w:r>
        <w:rPr>
          <w:rFonts w:ascii="宋体" w:hAnsi="宋体" w:cs="Times New Roman"/>
          <w:kern w:val="2"/>
        </w:rPr>
        <w:t>）。</w:t>
      </w:r>
    </w:p>
    <w:p w:rsidR="00657EAA" w:rsidRDefault="00657EAA">
      <w:pPr>
        <w:spacing w:line="360" w:lineRule="auto"/>
        <w:jc w:val="center"/>
        <w:rPr>
          <w:rFonts w:ascii="宋体" w:hAnsi="宋体" w:cs="Times New Roman"/>
          <w:bCs/>
          <w:kern w:val="2"/>
          <w:lang w:val="en-US"/>
        </w:rPr>
      </w:pPr>
    </w:p>
    <w:p w:rsidR="00657EAA" w:rsidRDefault="00E763E8">
      <w:pPr>
        <w:spacing w:line="360" w:lineRule="auto"/>
        <w:jc w:val="center"/>
        <w:rPr>
          <w:rFonts w:ascii="宋体" w:hAnsi="宋体" w:cs="Times New Roman"/>
          <w:bCs/>
          <w:kern w:val="2"/>
          <w:lang w:val="en-US"/>
        </w:rPr>
      </w:pPr>
      <w:r>
        <w:rPr>
          <w:rFonts w:ascii="宋体" w:hAnsi="宋体" w:cs="Times New Roman"/>
          <w:bCs/>
          <w:kern w:val="2"/>
          <w:lang w:val="en-US"/>
        </w:rPr>
        <w:t>第一部分 定义</w:t>
      </w:r>
    </w:p>
    <w:p w:rsidR="00657EAA" w:rsidRDefault="00657EAA">
      <w:pPr>
        <w:spacing w:line="360" w:lineRule="auto"/>
        <w:jc w:val="center"/>
        <w:rPr>
          <w:rFonts w:ascii="宋体" w:hAnsi="宋体" w:cs="Times New Roman"/>
          <w:bCs/>
          <w:kern w:val="2"/>
          <w:lang w:val="en-US"/>
        </w:rPr>
      </w:pPr>
    </w:p>
    <w:p w:rsidR="00657EAA" w:rsidRDefault="00E763E8">
      <w:pPr>
        <w:pStyle w:val="af4"/>
        <w:widowControl w:val="0"/>
        <w:adjustRightInd/>
        <w:spacing w:line="360" w:lineRule="auto"/>
        <w:ind w:firstLine="480"/>
        <w:jc w:val="both"/>
        <w:rPr>
          <w:rFonts w:ascii="宋体" w:hAnsi="宋体"/>
          <w:kern w:val="2"/>
          <w:lang w:eastAsia="zh-CN"/>
        </w:rPr>
      </w:pPr>
      <w:r>
        <w:rPr>
          <w:rFonts w:ascii="宋体" w:hAnsi="宋体"/>
          <w:kern w:val="2"/>
          <w:lang w:eastAsia="zh-CN"/>
        </w:rPr>
        <w:t>就本承诺方案而言，以下术语定义如下：</w:t>
      </w:r>
    </w:p>
    <w:p w:rsidR="00657EAA" w:rsidRDefault="00E763E8">
      <w:pPr>
        <w:pStyle w:val="af4"/>
        <w:widowControl w:val="0"/>
        <w:adjustRightInd/>
        <w:spacing w:line="360" w:lineRule="auto"/>
        <w:ind w:firstLine="482"/>
        <w:jc w:val="both"/>
        <w:rPr>
          <w:rFonts w:ascii="宋体" w:hAnsi="宋体"/>
          <w:kern w:val="2"/>
          <w:lang w:eastAsia="zh-CN"/>
        </w:rPr>
      </w:pPr>
      <w:r>
        <w:rPr>
          <w:rFonts w:ascii="宋体" w:hAnsi="宋体"/>
          <w:b/>
          <w:kern w:val="2"/>
          <w:lang w:eastAsia="zh-CN"/>
        </w:rPr>
        <w:t>万华化学</w:t>
      </w:r>
      <w:r>
        <w:rPr>
          <w:rFonts w:ascii="宋体" w:hAnsi="宋体"/>
          <w:kern w:val="2"/>
          <w:lang w:eastAsia="zh-CN"/>
        </w:rPr>
        <w:t>：指</w:t>
      </w:r>
      <w:r>
        <w:rPr>
          <w:rFonts w:ascii="宋体" w:hAnsi="宋体" w:hint="eastAsia"/>
          <w:bCs/>
          <w:kern w:val="2"/>
          <w:lang w:eastAsia="zh-CN"/>
        </w:rPr>
        <w:t>万华化学集团股份有限公司</w:t>
      </w:r>
      <w:r>
        <w:rPr>
          <w:rFonts w:ascii="宋体" w:hAnsi="宋体"/>
          <w:kern w:val="2"/>
          <w:lang w:eastAsia="zh-CN"/>
        </w:rPr>
        <w:t>，一家</w:t>
      </w:r>
      <w:r>
        <w:rPr>
          <w:rFonts w:ascii="宋体" w:hAnsi="宋体" w:hint="eastAsia"/>
          <w:kern w:val="2"/>
          <w:lang w:eastAsia="zh-CN"/>
        </w:rPr>
        <w:t>在中国山东省注册成立并在上海证券交易所上市的企业（地址为：山东省</w:t>
      </w:r>
      <w:r>
        <w:rPr>
          <w:rFonts w:ascii="宋体" w:hAnsi="宋体"/>
          <w:kern w:val="2"/>
          <w:lang w:val="en-US" w:eastAsia="zh-CN"/>
        </w:rPr>
        <w:t>烟台市经济技术开发区重庆大街59号</w:t>
      </w:r>
      <w:r>
        <w:rPr>
          <w:rFonts w:ascii="宋体" w:hAnsi="宋体" w:hint="eastAsia"/>
          <w:kern w:val="2"/>
          <w:lang w:eastAsia="zh-CN"/>
        </w:rPr>
        <w:t>）。</w:t>
      </w:r>
    </w:p>
    <w:p w:rsidR="00657EAA" w:rsidRDefault="00E763E8">
      <w:pPr>
        <w:pStyle w:val="af4"/>
        <w:widowControl w:val="0"/>
        <w:adjustRightInd/>
        <w:spacing w:line="360" w:lineRule="auto"/>
        <w:ind w:firstLine="482"/>
        <w:jc w:val="both"/>
        <w:rPr>
          <w:rFonts w:ascii="宋体" w:hAnsi="宋体"/>
          <w:bCs/>
          <w:kern w:val="2"/>
          <w:lang w:eastAsia="zh-CN"/>
        </w:rPr>
      </w:pPr>
      <w:r>
        <w:rPr>
          <w:rFonts w:ascii="宋体" w:hAnsi="宋体"/>
          <w:b/>
          <w:bCs/>
          <w:kern w:val="2"/>
          <w:lang w:eastAsia="zh-CN"/>
        </w:rPr>
        <w:t>烟台巨力</w:t>
      </w:r>
      <w:r>
        <w:rPr>
          <w:rFonts w:ascii="宋体" w:hAnsi="宋体" w:hint="eastAsia"/>
          <w:b/>
          <w:bCs/>
          <w:kern w:val="2"/>
          <w:lang w:eastAsia="zh-CN"/>
        </w:rPr>
        <w:t>：</w:t>
      </w:r>
      <w:r>
        <w:rPr>
          <w:rFonts w:ascii="宋体" w:hAnsi="宋体" w:hint="eastAsia"/>
          <w:bCs/>
          <w:kern w:val="2"/>
          <w:lang w:eastAsia="zh-CN"/>
        </w:rPr>
        <w:t>指烟台巨力精细化工股份有限公司，一家在</w:t>
      </w:r>
      <w:r w:rsidR="00BE3E74">
        <w:rPr>
          <w:rFonts w:ascii="宋体" w:hAnsi="宋体" w:hint="eastAsia"/>
          <w:bCs/>
          <w:kern w:val="2"/>
          <w:lang w:eastAsia="zh-CN"/>
        </w:rPr>
        <w:t>中国</w:t>
      </w:r>
      <w:r>
        <w:rPr>
          <w:rFonts w:ascii="宋体" w:hAnsi="宋体" w:hint="eastAsia"/>
          <w:bCs/>
          <w:kern w:val="2"/>
          <w:lang w:eastAsia="zh-CN"/>
        </w:rPr>
        <w:t>山东省注册成立的企业（地址为：</w:t>
      </w:r>
      <w:r>
        <w:rPr>
          <w:rFonts w:ascii="宋体" w:hAnsi="宋体"/>
          <w:bCs/>
          <w:kern w:val="2"/>
          <w:lang w:val="en-US" w:eastAsia="zh-CN"/>
        </w:rPr>
        <w:t>山东省莱阳市经济开发区崂山路6号</w:t>
      </w:r>
      <w:r>
        <w:rPr>
          <w:rFonts w:ascii="宋体" w:hAnsi="宋体" w:hint="eastAsia"/>
          <w:bCs/>
          <w:kern w:val="2"/>
          <w:lang w:eastAsia="zh-CN"/>
        </w:rPr>
        <w:t>）。</w:t>
      </w:r>
    </w:p>
    <w:p w:rsidR="00657EAA" w:rsidRDefault="00E763E8">
      <w:pPr>
        <w:pStyle w:val="af4"/>
        <w:widowControl w:val="0"/>
        <w:adjustRightInd/>
        <w:spacing w:line="360" w:lineRule="auto"/>
        <w:ind w:firstLine="482"/>
        <w:jc w:val="both"/>
        <w:rPr>
          <w:rFonts w:ascii="宋体" w:hAnsi="宋体"/>
          <w:kern w:val="2"/>
          <w:lang w:val="en-US" w:eastAsia="zh-CN"/>
        </w:rPr>
      </w:pPr>
      <w:r>
        <w:rPr>
          <w:rFonts w:ascii="宋体" w:hAnsi="宋体" w:hint="eastAsia"/>
          <w:b/>
          <w:bCs/>
          <w:kern w:val="2"/>
          <w:lang w:eastAsia="zh-CN"/>
        </w:rPr>
        <w:t>本次交易：</w:t>
      </w:r>
      <w:r>
        <w:rPr>
          <w:rFonts w:ascii="宋体" w:hAnsi="宋体" w:hint="eastAsia"/>
          <w:kern w:val="2"/>
          <w:lang w:eastAsia="zh-CN"/>
        </w:rPr>
        <w:t>指</w:t>
      </w:r>
      <w:r>
        <w:rPr>
          <w:rFonts w:ascii="宋体" w:hAnsi="宋体"/>
          <w:kern w:val="2"/>
          <w:lang w:eastAsia="zh-CN"/>
        </w:rPr>
        <w:t>万华化学</w:t>
      </w:r>
      <w:r>
        <w:rPr>
          <w:rFonts w:ascii="宋体" w:hAnsi="宋体" w:hint="eastAsia"/>
          <w:kern w:val="2"/>
          <w:lang w:val="en-US" w:eastAsia="zh-CN"/>
        </w:rPr>
        <w:t>收购</w:t>
      </w:r>
      <w:r>
        <w:rPr>
          <w:rFonts w:ascii="宋体" w:hAnsi="宋体"/>
          <w:kern w:val="2"/>
          <w:lang w:eastAsia="zh-CN"/>
        </w:rPr>
        <w:t>烟台巨力</w:t>
      </w:r>
      <w:r>
        <w:rPr>
          <w:rFonts w:ascii="宋体" w:hAnsi="宋体"/>
          <w:kern w:val="2"/>
          <w:lang w:val="en-US" w:eastAsia="zh-CN"/>
        </w:rPr>
        <w:t>股权</w:t>
      </w:r>
      <w:r>
        <w:rPr>
          <w:rFonts w:ascii="宋体" w:hAnsi="宋体" w:hint="eastAsia"/>
          <w:kern w:val="2"/>
          <w:lang w:val="en-US" w:eastAsia="zh-CN"/>
        </w:rPr>
        <w:t>的交易。</w:t>
      </w:r>
    </w:p>
    <w:p w:rsidR="00657EAA" w:rsidRDefault="00E763E8">
      <w:pPr>
        <w:pStyle w:val="af4"/>
        <w:widowControl w:val="0"/>
        <w:adjustRightInd/>
        <w:spacing w:line="360" w:lineRule="auto"/>
        <w:ind w:firstLine="482"/>
        <w:jc w:val="both"/>
        <w:rPr>
          <w:rFonts w:ascii="宋体" w:hAnsi="宋体"/>
          <w:kern w:val="2"/>
          <w:lang w:val="en-US" w:eastAsia="zh-CN"/>
        </w:rPr>
      </w:pPr>
      <w:r>
        <w:rPr>
          <w:rFonts w:ascii="宋体" w:hAnsi="宋体" w:hint="eastAsia"/>
          <w:b/>
          <w:bCs/>
          <w:kern w:val="2"/>
          <w:lang w:val="en-US" w:eastAsia="zh-CN"/>
        </w:rPr>
        <w:t>交易双方：</w:t>
      </w:r>
      <w:r>
        <w:rPr>
          <w:rFonts w:ascii="宋体" w:hAnsi="宋体" w:hint="eastAsia"/>
          <w:kern w:val="2"/>
          <w:lang w:val="en-US" w:eastAsia="zh-CN"/>
        </w:rPr>
        <w:t>指</w:t>
      </w:r>
      <w:r>
        <w:rPr>
          <w:rFonts w:ascii="宋体" w:hAnsi="宋体"/>
          <w:kern w:val="2"/>
          <w:lang w:eastAsia="zh-CN"/>
        </w:rPr>
        <w:t>万华化学</w:t>
      </w:r>
      <w:r>
        <w:rPr>
          <w:rFonts w:ascii="宋体" w:hAnsi="宋体" w:hint="eastAsia"/>
          <w:kern w:val="2"/>
          <w:lang w:val="en-US" w:eastAsia="zh-CN"/>
        </w:rPr>
        <w:t>和</w:t>
      </w:r>
      <w:r>
        <w:rPr>
          <w:rFonts w:ascii="宋体" w:hAnsi="宋体"/>
          <w:kern w:val="2"/>
          <w:lang w:eastAsia="zh-CN"/>
        </w:rPr>
        <w:t>烟台巨力</w:t>
      </w:r>
      <w:r>
        <w:rPr>
          <w:rFonts w:ascii="宋体" w:hAnsi="宋体" w:hint="eastAsia"/>
          <w:kern w:val="2"/>
          <w:lang w:val="en-US" w:eastAsia="zh-CN"/>
        </w:rPr>
        <w:t>。</w:t>
      </w:r>
    </w:p>
    <w:p w:rsidR="00657EAA" w:rsidRDefault="00E763E8">
      <w:pPr>
        <w:pStyle w:val="af4"/>
        <w:widowControl w:val="0"/>
        <w:adjustRightInd/>
        <w:spacing w:line="360" w:lineRule="auto"/>
        <w:ind w:firstLine="482"/>
        <w:jc w:val="both"/>
        <w:rPr>
          <w:rFonts w:ascii="宋体" w:hAnsi="宋体"/>
          <w:kern w:val="2"/>
          <w:lang w:val="en-US" w:eastAsia="zh-CN"/>
        </w:rPr>
      </w:pPr>
      <w:r>
        <w:rPr>
          <w:rFonts w:ascii="宋体" w:hAnsi="宋体"/>
          <w:b/>
          <w:bCs/>
          <w:kern w:val="2"/>
          <w:lang w:eastAsia="zh-CN"/>
        </w:rPr>
        <w:t>集中后实体</w:t>
      </w:r>
      <w:r>
        <w:rPr>
          <w:rFonts w:ascii="宋体" w:hAnsi="宋体" w:hint="eastAsia"/>
          <w:b/>
          <w:bCs/>
          <w:kern w:val="2"/>
          <w:lang w:eastAsia="zh-CN"/>
        </w:rPr>
        <w:t>：</w:t>
      </w:r>
      <w:r>
        <w:rPr>
          <w:rFonts w:ascii="宋体" w:hAnsi="宋体"/>
          <w:kern w:val="2"/>
          <w:lang w:eastAsia="zh-CN"/>
        </w:rPr>
        <w:t>指本次交易完成后的万华化学及其关联企业。</w:t>
      </w:r>
    </w:p>
    <w:p w:rsidR="00657EAA" w:rsidRDefault="00E763E8">
      <w:pPr>
        <w:pStyle w:val="af4"/>
        <w:widowControl w:val="0"/>
        <w:adjustRightInd/>
        <w:spacing w:line="360" w:lineRule="auto"/>
        <w:ind w:firstLine="482"/>
        <w:jc w:val="both"/>
        <w:rPr>
          <w:rFonts w:ascii="宋体" w:hAnsi="宋体"/>
          <w:kern w:val="2"/>
          <w:lang w:val="en-US" w:eastAsia="zh-CN"/>
        </w:rPr>
      </w:pPr>
      <w:r>
        <w:rPr>
          <w:rFonts w:ascii="宋体" w:hAnsi="宋体"/>
          <w:b/>
          <w:kern w:val="2"/>
          <w:lang w:eastAsia="zh-CN"/>
        </w:rPr>
        <w:t>关联企业：</w:t>
      </w:r>
      <w:r>
        <w:rPr>
          <w:rFonts w:ascii="宋体" w:hAnsi="宋体" w:hint="eastAsia"/>
          <w:bCs/>
          <w:kern w:val="2"/>
          <w:lang w:eastAsia="zh-CN"/>
        </w:rPr>
        <w:t>指</w:t>
      </w:r>
      <w:r>
        <w:rPr>
          <w:rFonts w:ascii="宋体" w:hAnsi="宋体"/>
          <w:kern w:val="2"/>
          <w:lang w:eastAsia="zh-CN"/>
        </w:rPr>
        <w:t>任何拥有或控制交易一方的企业或其他法人实体、或由交易一方拥有或控制、或与交易一方被共同直接或间接控制超过50%表决权或股权的企业，或能够通过股权、合同或其他方式对企业的管理和政策施加影响的企业或其他法人实体。</w:t>
      </w:r>
    </w:p>
    <w:p w:rsidR="00657EAA" w:rsidRDefault="00E763E8">
      <w:pPr>
        <w:pStyle w:val="af4"/>
        <w:widowControl w:val="0"/>
        <w:adjustRightInd/>
        <w:spacing w:line="360" w:lineRule="auto"/>
        <w:ind w:firstLine="482"/>
        <w:jc w:val="both"/>
        <w:rPr>
          <w:rFonts w:ascii="宋体" w:hAnsi="宋体"/>
          <w:kern w:val="2"/>
          <w:lang w:val="en-US" w:eastAsia="zh-CN"/>
        </w:rPr>
      </w:pPr>
      <w:r>
        <w:rPr>
          <w:rFonts w:ascii="宋体" w:hAnsi="宋体" w:hint="eastAsia"/>
          <w:b/>
          <w:bCs/>
          <w:kern w:val="2"/>
          <w:lang w:eastAsia="zh-CN"/>
        </w:rPr>
        <w:t>T</w:t>
      </w:r>
      <w:r>
        <w:rPr>
          <w:rFonts w:ascii="宋体" w:hAnsi="宋体"/>
          <w:b/>
          <w:bCs/>
          <w:kern w:val="2"/>
          <w:lang w:eastAsia="zh-CN"/>
        </w:rPr>
        <w:t>DI</w:t>
      </w:r>
      <w:r>
        <w:rPr>
          <w:rFonts w:ascii="宋体" w:hAnsi="宋体" w:hint="eastAsia"/>
          <w:b/>
          <w:bCs/>
          <w:kern w:val="2"/>
          <w:lang w:eastAsia="zh-CN"/>
        </w:rPr>
        <w:t>：</w:t>
      </w:r>
      <w:r>
        <w:rPr>
          <w:rFonts w:ascii="宋体" w:hAnsi="宋体" w:hint="eastAsia"/>
          <w:kern w:val="2"/>
          <w:lang w:eastAsia="zh-CN"/>
        </w:rPr>
        <w:t>指</w:t>
      </w:r>
      <w:r>
        <w:rPr>
          <w:rFonts w:ascii="宋体" w:hAnsi="宋体" w:hint="eastAsia"/>
          <w:kern w:val="2"/>
          <w:lang w:val="en-US" w:eastAsia="zh-CN"/>
        </w:rPr>
        <w:t>甲苯二异氰酸酯。</w:t>
      </w:r>
    </w:p>
    <w:p w:rsidR="00657EAA" w:rsidRDefault="00E763E8">
      <w:pPr>
        <w:pStyle w:val="af4"/>
        <w:widowControl w:val="0"/>
        <w:adjustRightInd/>
        <w:spacing w:line="360" w:lineRule="auto"/>
        <w:ind w:firstLine="482"/>
        <w:jc w:val="both"/>
        <w:rPr>
          <w:rFonts w:ascii="宋体" w:hAnsi="宋体"/>
          <w:b/>
          <w:bCs/>
          <w:kern w:val="2"/>
          <w:lang w:eastAsia="zh-CN"/>
        </w:rPr>
      </w:pPr>
      <w:r>
        <w:rPr>
          <w:rFonts w:ascii="宋体" w:hAnsi="宋体" w:hint="eastAsia"/>
          <w:b/>
          <w:bCs/>
          <w:kern w:val="2"/>
          <w:lang w:eastAsia="zh-CN"/>
        </w:rPr>
        <w:t>中国境内市场客户：</w:t>
      </w:r>
      <w:r>
        <w:rPr>
          <w:rFonts w:ascii="宋体" w:hAnsi="宋体" w:hint="eastAsia"/>
          <w:bCs/>
          <w:kern w:val="2"/>
          <w:lang w:eastAsia="zh-CN"/>
        </w:rPr>
        <w:t>指位于中国境内，采购TDI用于自己和/或中国境内关联方使用，或者采购TDI用于销售给其他中国境内主体的客户。</w:t>
      </w:r>
    </w:p>
    <w:p w:rsidR="00657EAA" w:rsidRDefault="00E763E8">
      <w:pPr>
        <w:pStyle w:val="af4"/>
        <w:widowControl w:val="0"/>
        <w:adjustRightInd/>
        <w:spacing w:line="360" w:lineRule="auto"/>
        <w:ind w:firstLine="482"/>
        <w:jc w:val="both"/>
        <w:rPr>
          <w:rFonts w:ascii="宋体" w:hAnsi="宋体"/>
          <w:b/>
          <w:bCs/>
          <w:kern w:val="2"/>
          <w:lang w:val="en-US" w:eastAsia="zh-CN"/>
        </w:rPr>
      </w:pPr>
      <w:r>
        <w:rPr>
          <w:rFonts w:ascii="宋体" w:hAnsi="宋体" w:hint="eastAsia"/>
          <w:b/>
          <w:bCs/>
          <w:kern w:val="2"/>
          <w:lang w:val="en-US" w:eastAsia="zh-CN"/>
        </w:rPr>
        <w:t>交割：</w:t>
      </w:r>
      <w:r>
        <w:rPr>
          <w:rFonts w:ascii="宋体" w:hAnsi="宋体" w:hint="eastAsia"/>
          <w:kern w:val="2"/>
          <w:lang w:val="en-US" w:eastAsia="zh-CN"/>
        </w:rPr>
        <w:t>指</w:t>
      </w:r>
      <w:r>
        <w:rPr>
          <w:rFonts w:ascii="宋体" w:hAnsi="宋体" w:hint="eastAsia"/>
          <w:bCs/>
          <w:kern w:val="2"/>
          <w:lang w:val="en-US" w:eastAsia="zh-CN"/>
        </w:rPr>
        <w:t>根据</w:t>
      </w:r>
      <w:r>
        <w:rPr>
          <w:rFonts w:ascii="宋体" w:hAnsi="宋体"/>
          <w:bCs/>
          <w:kern w:val="2"/>
          <w:lang w:eastAsia="zh-CN"/>
        </w:rPr>
        <w:t>万华化学</w:t>
      </w:r>
      <w:r>
        <w:rPr>
          <w:rFonts w:ascii="宋体" w:hAnsi="宋体" w:hint="eastAsia"/>
          <w:bCs/>
          <w:kern w:val="2"/>
          <w:lang w:val="en-US" w:eastAsia="zh-CN"/>
        </w:rPr>
        <w:t>和</w:t>
      </w:r>
      <w:r>
        <w:rPr>
          <w:rFonts w:ascii="宋体" w:hAnsi="宋体"/>
          <w:bCs/>
          <w:kern w:val="2"/>
          <w:lang w:eastAsia="zh-CN"/>
        </w:rPr>
        <w:t>烟台巨力</w:t>
      </w:r>
      <w:r>
        <w:rPr>
          <w:rFonts w:ascii="宋体" w:hAnsi="宋体" w:hint="eastAsia"/>
          <w:bCs/>
          <w:kern w:val="2"/>
          <w:lang w:val="en-US" w:eastAsia="zh-CN"/>
        </w:rPr>
        <w:t>于2022年7月签订的《股份转让协议》完</w:t>
      </w:r>
      <w:r>
        <w:rPr>
          <w:rFonts w:ascii="宋体" w:hAnsi="宋体" w:hint="eastAsia"/>
          <w:bCs/>
          <w:kern w:val="2"/>
          <w:lang w:val="en-US" w:eastAsia="zh-CN"/>
        </w:rPr>
        <w:lastRenderedPageBreak/>
        <w:t>成本</w:t>
      </w:r>
      <w:r w:rsidR="003E3B8B">
        <w:rPr>
          <w:rFonts w:ascii="宋体" w:hAnsi="宋体" w:hint="eastAsia"/>
          <w:bCs/>
          <w:kern w:val="2"/>
          <w:lang w:val="en-US" w:eastAsia="zh-CN"/>
        </w:rPr>
        <w:t>次</w:t>
      </w:r>
      <w:r>
        <w:rPr>
          <w:rFonts w:ascii="宋体" w:hAnsi="宋体" w:hint="eastAsia"/>
          <w:bCs/>
          <w:kern w:val="2"/>
          <w:lang w:val="en-US" w:eastAsia="zh-CN"/>
        </w:rPr>
        <w:t>交易。</w:t>
      </w:r>
    </w:p>
    <w:p w:rsidR="00657EAA" w:rsidRDefault="00E763E8">
      <w:pPr>
        <w:pStyle w:val="af4"/>
        <w:widowControl w:val="0"/>
        <w:adjustRightInd/>
        <w:spacing w:line="360" w:lineRule="auto"/>
        <w:ind w:firstLine="482"/>
        <w:jc w:val="both"/>
        <w:rPr>
          <w:rFonts w:ascii="宋体" w:hAnsi="宋体"/>
          <w:kern w:val="2"/>
          <w:lang w:eastAsia="zh-CN"/>
        </w:rPr>
      </w:pPr>
      <w:r>
        <w:rPr>
          <w:rFonts w:ascii="宋体" w:hAnsi="宋体"/>
          <w:b/>
          <w:kern w:val="2"/>
          <w:lang w:eastAsia="zh-CN"/>
        </w:rPr>
        <w:t>监督受托人</w:t>
      </w:r>
      <w:r>
        <w:rPr>
          <w:rFonts w:ascii="宋体" w:hAnsi="宋体"/>
          <w:kern w:val="2"/>
          <w:lang w:eastAsia="zh-CN"/>
        </w:rPr>
        <w:t>：</w:t>
      </w:r>
      <w:r>
        <w:rPr>
          <w:rFonts w:ascii="宋体" w:hAnsi="宋体" w:hint="eastAsia"/>
          <w:kern w:val="2"/>
          <w:lang w:eastAsia="zh-CN"/>
        </w:rPr>
        <w:t>指由交易双方和集中后实体委托并经市场监管总局批准，负责对交易双方和集中后实体执行承诺的情况进行监督的一名或一名以上的自然人、法人或其他组织。</w:t>
      </w:r>
    </w:p>
    <w:p w:rsidR="00657EAA" w:rsidRDefault="00E763E8">
      <w:pPr>
        <w:pStyle w:val="af4"/>
        <w:widowControl w:val="0"/>
        <w:adjustRightInd/>
        <w:spacing w:line="360" w:lineRule="auto"/>
        <w:ind w:firstLine="482"/>
        <w:jc w:val="both"/>
        <w:rPr>
          <w:rFonts w:ascii="宋体" w:hAnsi="宋体"/>
          <w:kern w:val="2"/>
          <w:lang w:eastAsia="zh-CN"/>
        </w:rPr>
      </w:pPr>
      <w:r>
        <w:rPr>
          <w:rFonts w:ascii="宋体" w:hAnsi="宋体"/>
          <w:b/>
          <w:kern w:val="2"/>
          <w:lang w:eastAsia="zh-CN"/>
        </w:rPr>
        <w:t>决定</w:t>
      </w:r>
      <w:r>
        <w:rPr>
          <w:rFonts w:ascii="宋体" w:hAnsi="宋体"/>
          <w:kern w:val="2"/>
          <w:lang w:eastAsia="zh-CN"/>
        </w:rPr>
        <w:t>：</w:t>
      </w:r>
      <w:r>
        <w:rPr>
          <w:rFonts w:ascii="宋体" w:hAnsi="宋体" w:hint="eastAsia"/>
          <w:kern w:val="2"/>
          <w:lang w:eastAsia="zh-CN"/>
        </w:rPr>
        <w:t>指</w:t>
      </w:r>
      <w:r>
        <w:rPr>
          <w:rFonts w:ascii="宋体" w:hAnsi="宋体"/>
          <w:kern w:val="2"/>
          <w:lang w:eastAsia="zh-CN"/>
        </w:rPr>
        <w:t>市场监管总局附加限制性条件批准本次交易的决定。</w:t>
      </w:r>
    </w:p>
    <w:p w:rsidR="00657EAA" w:rsidRDefault="00E763E8">
      <w:pPr>
        <w:pStyle w:val="af4"/>
        <w:widowControl w:val="0"/>
        <w:adjustRightInd/>
        <w:spacing w:line="360" w:lineRule="auto"/>
        <w:ind w:firstLine="482"/>
        <w:jc w:val="both"/>
        <w:rPr>
          <w:rFonts w:ascii="宋体" w:hAnsi="宋体"/>
          <w:kern w:val="2"/>
          <w:lang w:eastAsia="zh-CN"/>
        </w:rPr>
      </w:pPr>
      <w:r>
        <w:rPr>
          <w:rFonts w:ascii="宋体" w:hAnsi="宋体" w:hint="eastAsia"/>
          <w:b/>
          <w:bCs/>
          <w:kern w:val="2"/>
          <w:lang w:eastAsia="zh-CN"/>
        </w:rPr>
        <w:t>生效日：</w:t>
      </w:r>
      <w:r>
        <w:rPr>
          <w:rFonts w:ascii="宋体" w:hAnsi="宋体" w:hint="eastAsia"/>
          <w:kern w:val="2"/>
          <w:lang w:eastAsia="zh-CN"/>
        </w:rPr>
        <w:t>指</w:t>
      </w:r>
      <w:r>
        <w:rPr>
          <w:rFonts w:ascii="宋体" w:hAnsi="宋体"/>
          <w:kern w:val="2"/>
          <w:lang w:eastAsia="zh-CN"/>
        </w:rPr>
        <w:t>市场监管总局审查决定生效的日期。</w:t>
      </w:r>
    </w:p>
    <w:p w:rsidR="00657EAA" w:rsidRDefault="00E763E8">
      <w:pPr>
        <w:pStyle w:val="af4"/>
        <w:widowControl w:val="0"/>
        <w:adjustRightInd/>
        <w:spacing w:line="360" w:lineRule="auto"/>
        <w:ind w:firstLine="482"/>
        <w:jc w:val="both"/>
        <w:rPr>
          <w:rFonts w:ascii="宋体" w:hAnsi="宋体"/>
          <w:b/>
          <w:kern w:val="2"/>
          <w:lang w:val="en-US" w:eastAsia="zh-CN"/>
        </w:rPr>
      </w:pPr>
      <w:r>
        <w:rPr>
          <w:rFonts w:ascii="宋体" w:hAnsi="宋体" w:hint="eastAsia"/>
          <w:b/>
          <w:kern w:val="2"/>
          <w:lang w:eastAsia="zh-CN"/>
        </w:rPr>
        <w:t>承诺日：</w:t>
      </w:r>
      <w:r>
        <w:rPr>
          <w:rFonts w:ascii="宋体" w:hAnsi="宋体" w:hint="eastAsia"/>
          <w:kern w:val="2"/>
          <w:lang w:eastAsia="zh-CN"/>
        </w:rPr>
        <w:t>指本承诺方案提交市场监管总局的</w:t>
      </w:r>
      <w:r>
        <w:rPr>
          <w:rFonts w:ascii="宋体" w:hAnsi="宋体"/>
          <w:kern w:val="2"/>
          <w:lang w:eastAsia="zh-CN"/>
        </w:rPr>
        <w:t>日期。</w:t>
      </w:r>
    </w:p>
    <w:p w:rsidR="00657EAA" w:rsidRDefault="00657EAA">
      <w:pPr>
        <w:spacing w:line="360" w:lineRule="auto"/>
        <w:jc w:val="center"/>
        <w:rPr>
          <w:rFonts w:ascii="宋体" w:hAnsi="宋体" w:cs="Times New Roman"/>
          <w:bCs/>
          <w:kern w:val="2"/>
          <w:lang w:val="en-US"/>
        </w:rPr>
      </w:pPr>
    </w:p>
    <w:p w:rsidR="00657EAA" w:rsidRDefault="00E763E8">
      <w:pPr>
        <w:spacing w:line="360" w:lineRule="auto"/>
        <w:jc w:val="center"/>
        <w:rPr>
          <w:rFonts w:ascii="宋体" w:hAnsi="宋体" w:cs="Times New Roman"/>
          <w:bCs/>
          <w:kern w:val="2"/>
          <w:lang w:val="en-US"/>
        </w:rPr>
      </w:pPr>
      <w:r>
        <w:rPr>
          <w:rFonts w:ascii="宋体" w:hAnsi="宋体" w:cs="Times New Roman"/>
          <w:bCs/>
          <w:kern w:val="2"/>
          <w:lang w:val="en-US"/>
        </w:rPr>
        <w:t>第二部分 承诺内容</w:t>
      </w:r>
    </w:p>
    <w:p w:rsidR="00657EAA" w:rsidRDefault="00657EAA">
      <w:pPr>
        <w:spacing w:line="360" w:lineRule="auto"/>
        <w:jc w:val="center"/>
        <w:rPr>
          <w:rFonts w:ascii="宋体" w:hAnsi="宋体" w:cs="Times New Roman"/>
          <w:bCs/>
          <w:kern w:val="2"/>
          <w:lang w:val="en-US"/>
        </w:rPr>
      </w:pPr>
    </w:p>
    <w:p w:rsidR="00657EAA" w:rsidRDefault="00E763E8">
      <w:pPr>
        <w:pStyle w:val="af4"/>
        <w:numPr>
          <w:ilvl w:val="0"/>
          <w:numId w:val="1"/>
        </w:numPr>
        <w:spacing w:line="360" w:lineRule="auto"/>
        <w:ind w:left="0" w:firstLine="480"/>
        <w:jc w:val="both"/>
        <w:rPr>
          <w:rFonts w:ascii="宋体" w:hAnsi="宋体"/>
          <w:lang w:eastAsia="zh-CN"/>
        </w:rPr>
      </w:pPr>
      <w:r>
        <w:rPr>
          <w:rFonts w:ascii="宋体" w:hAnsi="宋体" w:hint="eastAsia"/>
          <w:lang w:val="en-US" w:eastAsia="zh-CN"/>
        </w:rPr>
        <w:t>交易双方和集中后实体</w:t>
      </w:r>
      <w:r>
        <w:rPr>
          <w:rFonts w:ascii="宋体" w:hAnsi="宋体"/>
          <w:lang w:val="en-US" w:eastAsia="zh-CN"/>
        </w:rPr>
        <w:t>承诺</w:t>
      </w:r>
      <w:r>
        <w:rPr>
          <w:rFonts w:ascii="宋体" w:hAnsi="宋体" w:hint="eastAsia"/>
          <w:lang w:val="en-US" w:eastAsia="zh-CN"/>
        </w:rPr>
        <w:t>，</w:t>
      </w:r>
      <w:r>
        <w:rPr>
          <w:rFonts w:ascii="宋体" w:hAnsi="宋体"/>
          <w:lang w:eastAsia="zh-CN"/>
        </w:rPr>
        <w:t>在本</w:t>
      </w:r>
      <w:r>
        <w:rPr>
          <w:rFonts w:ascii="宋体" w:hAnsi="宋体" w:hint="eastAsia"/>
          <w:lang w:eastAsia="zh-CN"/>
        </w:rPr>
        <w:t>次</w:t>
      </w:r>
      <w:r>
        <w:rPr>
          <w:rFonts w:ascii="宋体" w:hAnsi="宋体"/>
          <w:lang w:eastAsia="zh-CN"/>
        </w:rPr>
        <w:t>交易交割</w:t>
      </w:r>
      <w:r>
        <w:rPr>
          <w:rFonts w:ascii="宋体" w:hAnsi="宋体" w:hint="eastAsia"/>
          <w:lang w:eastAsia="zh-CN"/>
        </w:rPr>
        <w:t>完成</w:t>
      </w:r>
      <w:r>
        <w:rPr>
          <w:rFonts w:ascii="宋体" w:hAnsi="宋体"/>
          <w:lang w:eastAsia="zh-CN"/>
        </w:rPr>
        <w:t>后</w:t>
      </w:r>
      <w:r>
        <w:rPr>
          <w:rFonts w:ascii="宋体" w:hAnsi="宋体" w:hint="eastAsia"/>
          <w:lang w:eastAsia="zh-CN"/>
        </w:rPr>
        <w:t>，</w:t>
      </w:r>
      <w:r>
        <w:rPr>
          <w:rFonts w:ascii="宋体" w:hAnsi="宋体"/>
          <w:lang w:eastAsia="zh-CN"/>
        </w:rPr>
        <w:t>在交易条</w:t>
      </w:r>
      <w:r>
        <w:rPr>
          <w:rFonts w:ascii="宋体" w:hAnsi="宋体" w:hint="eastAsia"/>
          <w:lang w:eastAsia="zh-CN"/>
        </w:rPr>
        <w:t>件</w:t>
      </w:r>
      <w:r>
        <w:rPr>
          <w:rFonts w:ascii="宋体" w:hAnsi="宋体"/>
          <w:lang w:eastAsia="zh-CN"/>
        </w:rPr>
        <w:t>相当的情况下</w:t>
      </w:r>
      <w:r>
        <w:rPr>
          <w:rFonts w:ascii="宋体" w:hAnsi="宋体" w:hint="eastAsia"/>
          <w:lang w:eastAsia="zh-CN"/>
        </w:rPr>
        <w:t>，向中国境内市场客户供应TDI的年度均价</w:t>
      </w:r>
      <w:r>
        <w:rPr>
          <w:rFonts w:ascii="宋体" w:hAnsi="宋体"/>
          <w:lang w:eastAsia="zh-CN"/>
        </w:rPr>
        <w:t>不高于</w:t>
      </w:r>
      <w:r>
        <w:rPr>
          <w:rFonts w:ascii="宋体" w:hAnsi="宋体" w:hint="eastAsia"/>
          <w:lang w:eastAsia="zh-CN"/>
        </w:rPr>
        <w:t>承诺日前二十四（</w:t>
      </w:r>
      <w:r>
        <w:rPr>
          <w:rFonts w:ascii="宋体" w:hAnsi="宋体"/>
          <w:lang w:eastAsia="zh-CN"/>
        </w:rPr>
        <w:t>24</w:t>
      </w:r>
      <w:r>
        <w:rPr>
          <w:rFonts w:ascii="宋体" w:hAnsi="宋体" w:hint="eastAsia"/>
          <w:lang w:eastAsia="zh-CN"/>
        </w:rPr>
        <w:t>）</w:t>
      </w:r>
      <w:r>
        <w:rPr>
          <w:rFonts w:ascii="宋体" w:hAnsi="宋体"/>
          <w:lang w:eastAsia="zh-CN"/>
        </w:rPr>
        <w:t>个月平均价格</w:t>
      </w:r>
      <w:r>
        <w:rPr>
          <w:rFonts w:ascii="宋体" w:hAnsi="宋体" w:hint="eastAsia"/>
          <w:lang w:eastAsia="zh-CN"/>
        </w:rPr>
        <w:t>，即</w:t>
      </w:r>
      <w:r>
        <w:rPr>
          <w:rFonts w:ascii="宋体" w:hAnsi="宋体"/>
          <w:lang w:eastAsia="zh-CN"/>
        </w:rPr>
        <w:t>[</w:t>
      </w:r>
      <w:r>
        <w:rPr>
          <w:rFonts w:ascii="宋体" w:hAnsi="宋体" w:hint="eastAsia"/>
          <w:lang w:val="en-US" w:eastAsia="zh-Hans"/>
        </w:rPr>
        <w:t>保密信息</w:t>
      </w:r>
      <w:r>
        <w:rPr>
          <w:rFonts w:ascii="宋体" w:hAnsi="宋体"/>
          <w:lang w:eastAsia="zh-CN"/>
        </w:rPr>
        <w:t>]</w:t>
      </w:r>
      <w:r>
        <w:rPr>
          <w:rFonts w:ascii="宋体" w:hAnsi="宋体" w:hint="eastAsia"/>
          <w:lang w:eastAsia="zh-CN"/>
        </w:rPr>
        <w:t>；且月度均价上调幅度不高于承诺日前二十四（</w:t>
      </w:r>
      <w:r>
        <w:rPr>
          <w:rFonts w:ascii="宋体" w:hAnsi="宋体"/>
          <w:lang w:eastAsia="zh-CN"/>
        </w:rPr>
        <w:t>24</w:t>
      </w:r>
      <w:r>
        <w:rPr>
          <w:rFonts w:ascii="宋体" w:hAnsi="宋体" w:hint="eastAsia"/>
          <w:lang w:eastAsia="zh-CN"/>
        </w:rPr>
        <w:t>）</w:t>
      </w:r>
      <w:r>
        <w:rPr>
          <w:rFonts w:ascii="宋体" w:hAnsi="宋体"/>
          <w:lang w:eastAsia="zh-CN"/>
        </w:rPr>
        <w:t>个月平均价格</w:t>
      </w:r>
      <w:r>
        <w:rPr>
          <w:rFonts w:ascii="宋体" w:hAnsi="宋体" w:hint="eastAsia"/>
          <w:lang w:eastAsia="zh-CN"/>
        </w:rPr>
        <w:t>的</w:t>
      </w:r>
      <w:r>
        <w:rPr>
          <w:rFonts w:ascii="宋体" w:hAnsi="宋体"/>
          <w:lang w:eastAsia="zh-CN"/>
        </w:rPr>
        <w:t>[</w:t>
      </w:r>
      <w:r>
        <w:rPr>
          <w:rFonts w:ascii="宋体" w:hAnsi="宋体" w:hint="eastAsia"/>
          <w:lang w:val="en-US" w:eastAsia="zh-Hans"/>
        </w:rPr>
        <w:t>保密信息</w:t>
      </w:r>
      <w:r>
        <w:rPr>
          <w:rFonts w:ascii="宋体" w:hAnsi="宋体"/>
          <w:lang w:eastAsia="zh-CN"/>
        </w:rPr>
        <w:t>]</w:t>
      </w:r>
      <w:r>
        <w:rPr>
          <w:rFonts w:ascii="宋体" w:hAnsi="宋体" w:hint="eastAsia"/>
          <w:lang w:eastAsia="zh-CN"/>
        </w:rPr>
        <w:t>。</w:t>
      </w:r>
    </w:p>
    <w:p w:rsidR="00657EAA" w:rsidRDefault="00E763E8">
      <w:pPr>
        <w:spacing w:line="360" w:lineRule="auto"/>
        <w:ind w:firstLineChars="200" w:firstLine="480"/>
        <w:rPr>
          <w:rFonts w:ascii="宋体" w:hAnsi="宋体"/>
          <w:lang w:val="en-US"/>
        </w:rPr>
      </w:pPr>
      <w:r>
        <w:rPr>
          <w:rFonts w:ascii="宋体" w:hAnsi="宋体" w:hint="eastAsia"/>
          <w:lang w:val="en-US"/>
        </w:rPr>
        <w:t>交易双方和集中后实体可以根据主要原材料价格的变化对向中国境内市场客户供应TDI的价格进行公平合理的调整。如主要原材料市场价格较承诺日前二十四（24）个月平均市场价格下降超过</w:t>
      </w:r>
      <w:r>
        <w:rPr>
          <w:rFonts w:ascii="宋体" w:hAnsi="宋体"/>
        </w:rPr>
        <w:t>[</w:t>
      </w:r>
      <w:r>
        <w:rPr>
          <w:rFonts w:ascii="宋体" w:hAnsi="宋体" w:hint="eastAsia"/>
          <w:lang w:val="en-US" w:eastAsia="zh-Hans"/>
        </w:rPr>
        <w:t>保密信息</w:t>
      </w:r>
      <w:r>
        <w:rPr>
          <w:rFonts w:ascii="宋体" w:hAnsi="宋体"/>
        </w:rPr>
        <w:t>]</w:t>
      </w:r>
      <w:r>
        <w:rPr>
          <w:rFonts w:ascii="宋体" w:hAnsi="宋体" w:hint="eastAsia"/>
          <w:lang w:val="en-US"/>
        </w:rPr>
        <w:t>，</w:t>
      </w:r>
      <w:r w:rsidR="000D4BF1">
        <w:rPr>
          <w:rFonts w:ascii="宋体" w:hAnsi="宋体" w:hint="eastAsia"/>
          <w:lang w:val="en-US"/>
        </w:rPr>
        <w:t>交易</w:t>
      </w:r>
      <w:r>
        <w:rPr>
          <w:rFonts w:ascii="宋体" w:hAnsi="宋体" w:hint="eastAsia"/>
          <w:lang w:val="en-US"/>
        </w:rPr>
        <w:t>双方和集中后实体应当对向中国境内市场客户供应TDI的价格进行公平合理的下调。</w:t>
      </w:r>
    </w:p>
    <w:p w:rsidR="00657EAA" w:rsidRDefault="00E763E8">
      <w:pPr>
        <w:pStyle w:val="af4"/>
        <w:numPr>
          <w:ilvl w:val="0"/>
          <w:numId w:val="1"/>
        </w:numPr>
        <w:spacing w:line="360" w:lineRule="auto"/>
        <w:ind w:left="0" w:firstLine="480"/>
        <w:jc w:val="both"/>
        <w:rPr>
          <w:rFonts w:ascii="宋体" w:hAnsi="宋体"/>
          <w:lang w:val="en-US" w:eastAsia="zh-CN"/>
        </w:rPr>
      </w:pPr>
      <w:r>
        <w:rPr>
          <w:rFonts w:ascii="宋体" w:hAnsi="宋体" w:hint="eastAsia"/>
          <w:lang w:eastAsia="zh-CN"/>
        </w:rPr>
        <w:t>交易双方和集中后实体</w:t>
      </w:r>
      <w:r>
        <w:rPr>
          <w:rFonts w:ascii="宋体" w:hAnsi="宋体"/>
          <w:lang w:val="en-US" w:eastAsia="zh-CN"/>
        </w:rPr>
        <w:t>承诺，根据《反垄断法》</w:t>
      </w:r>
      <w:r>
        <w:rPr>
          <w:rFonts w:ascii="宋体" w:hAnsi="宋体" w:hint="eastAsia"/>
          <w:kern w:val="2"/>
          <w:lang w:val="en-US" w:eastAsia="zh-Hans"/>
        </w:rPr>
        <w:t>及其配套规章</w:t>
      </w:r>
      <w:r>
        <w:rPr>
          <w:rFonts w:ascii="宋体" w:hAnsi="宋体"/>
          <w:lang w:val="en-US" w:eastAsia="zh-CN"/>
        </w:rPr>
        <w:t>的规定，</w:t>
      </w:r>
      <w:r>
        <w:rPr>
          <w:rFonts w:ascii="宋体" w:hAnsi="宋体" w:hint="eastAsia"/>
          <w:lang w:val="en-US" w:eastAsia="zh-CN"/>
        </w:rPr>
        <w:t>除遇不可抗力或装置意外停车等交易双方</w:t>
      </w:r>
      <w:r w:rsidR="000D4BF1">
        <w:rPr>
          <w:rFonts w:ascii="宋体" w:hAnsi="宋体" w:hint="eastAsia"/>
          <w:lang w:val="en-US" w:eastAsia="zh-CN"/>
        </w:rPr>
        <w:t>和集中后实体</w:t>
      </w:r>
      <w:r>
        <w:rPr>
          <w:rFonts w:ascii="宋体" w:hAnsi="宋体" w:hint="eastAsia"/>
          <w:lang w:val="en-US" w:eastAsia="zh-CN"/>
        </w:rPr>
        <w:t>无法控制</w:t>
      </w:r>
      <w:r w:rsidR="000D4BF1">
        <w:rPr>
          <w:rFonts w:ascii="宋体" w:hAnsi="宋体" w:hint="eastAsia"/>
          <w:lang w:val="en-US" w:eastAsia="zh-CN"/>
        </w:rPr>
        <w:t>的</w:t>
      </w:r>
      <w:r>
        <w:rPr>
          <w:rFonts w:ascii="宋体" w:hAnsi="宋体" w:hint="eastAsia"/>
          <w:lang w:val="en-US" w:eastAsia="zh-CN"/>
        </w:rPr>
        <w:t>因素或其他正当理由外，</w:t>
      </w:r>
      <w:r>
        <w:rPr>
          <w:rFonts w:ascii="宋体" w:hAnsi="宋体"/>
          <w:lang w:val="en-US" w:eastAsia="zh-CN"/>
        </w:rPr>
        <w:t>将在</w:t>
      </w:r>
      <w:r>
        <w:rPr>
          <w:rFonts w:ascii="宋体" w:hAnsi="宋体" w:hint="eastAsia"/>
          <w:lang w:val="en-US" w:eastAsia="zh-CN"/>
        </w:rPr>
        <w:t>交割完成后持续保持或</w:t>
      </w:r>
      <w:r>
        <w:rPr>
          <w:rFonts w:ascii="宋体" w:hAnsi="宋体"/>
          <w:lang w:val="en-US" w:eastAsia="zh-CN"/>
        </w:rPr>
        <w:t>扩大</w:t>
      </w:r>
      <w:r>
        <w:rPr>
          <w:rFonts w:ascii="宋体" w:hAnsi="宋体" w:hint="eastAsia"/>
          <w:lang w:val="en-US" w:eastAsia="zh-CN"/>
        </w:rPr>
        <w:t>中国境内T</w:t>
      </w:r>
      <w:r>
        <w:rPr>
          <w:rFonts w:ascii="宋体" w:hAnsi="宋体"/>
          <w:lang w:val="en-US" w:eastAsia="zh-CN"/>
        </w:rPr>
        <w:t>DI的产量</w:t>
      </w:r>
      <w:r>
        <w:rPr>
          <w:rFonts w:ascii="宋体" w:hAnsi="宋体" w:hint="eastAsia"/>
          <w:lang w:val="en-US" w:eastAsia="zh-CN"/>
        </w:rPr>
        <w:t>。</w:t>
      </w:r>
    </w:p>
    <w:p w:rsidR="00657EAA" w:rsidRDefault="00E763E8">
      <w:pPr>
        <w:spacing w:line="360" w:lineRule="auto"/>
        <w:ind w:firstLineChars="200" w:firstLine="480"/>
        <w:rPr>
          <w:rFonts w:ascii="宋体" w:hAnsi="宋体"/>
          <w:lang w:val="en-US"/>
        </w:rPr>
      </w:pPr>
      <w:r>
        <w:rPr>
          <w:rFonts w:ascii="宋体" w:hAnsi="宋体" w:hint="eastAsia"/>
        </w:rPr>
        <w:t>交易双方和集中后实体</w:t>
      </w:r>
      <w:r>
        <w:rPr>
          <w:rFonts w:ascii="宋体" w:hAnsi="宋体"/>
          <w:lang w:val="en-US"/>
        </w:rPr>
        <w:t>承诺，</w:t>
      </w:r>
      <w:r>
        <w:rPr>
          <w:rFonts w:ascii="宋体" w:hAnsi="宋体" w:hint="eastAsia"/>
          <w:lang w:val="en-US"/>
        </w:rPr>
        <w:t>将在交割完成后在中国境内以一贯做法继续投入研发创新。</w:t>
      </w:r>
    </w:p>
    <w:p w:rsidR="00657EAA" w:rsidRDefault="00E763E8">
      <w:pPr>
        <w:pStyle w:val="af4"/>
        <w:numPr>
          <w:ilvl w:val="0"/>
          <w:numId w:val="1"/>
        </w:numPr>
        <w:spacing w:line="360" w:lineRule="auto"/>
        <w:ind w:left="0" w:firstLine="480"/>
        <w:jc w:val="both"/>
        <w:rPr>
          <w:rFonts w:ascii="宋体" w:hAnsi="宋体"/>
          <w:lang w:val="en-US" w:eastAsia="zh-CN"/>
        </w:rPr>
      </w:pPr>
      <w:r>
        <w:rPr>
          <w:rFonts w:ascii="宋体" w:hAnsi="宋体"/>
          <w:lang w:val="en-US" w:eastAsia="zh-CN"/>
        </w:rPr>
        <w:t>除非有正当理由，在</w:t>
      </w:r>
      <w:r>
        <w:rPr>
          <w:rFonts w:ascii="宋体" w:hAnsi="宋体" w:hint="eastAsia"/>
          <w:lang w:val="en-US" w:eastAsia="zh-CN"/>
        </w:rPr>
        <w:t>交割完成后</w:t>
      </w:r>
      <w:r>
        <w:rPr>
          <w:rFonts w:ascii="宋体" w:hAnsi="宋体" w:hint="eastAsia"/>
          <w:lang w:eastAsia="zh-CN"/>
        </w:rPr>
        <w:t>交易双方和集中后实体</w:t>
      </w:r>
      <w:r>
        <w:rPr>
          <w:rFonts w:ascii="宋体" w:hAnsi="宋体"/>
          <w:lang w:val="en-US" w:eastAsia="zh-CN"/>
        </w:rPr>
        <w:t>应依据公平、合理、无歧视原则向中国境内市场</w:t>
      </w:r>
      <w:r>
        <w:rPr>
          <w:rFonts w:ascii="宋体" w:hAnsi="宋体" w:hint="eastAsia"/>
          <w:lang w:val="en-US" w:eastAsia="zh-CN"/>
        </w:rPr>
        <w:t>客户</w:t>
      </w:r>
      <w:r>
        <w:rPr>
          <w:rFonts w:ascii="宋体" w:hAnsi="宋体"/>
          <w:lang w:val="en-US" w:eastAsia="zh-CN"/>
        </w:rPr>
        <w:t>继续供应</w:t>
      </w:r>
      <w:r>
        <w:rPr>
          <w:rFonts w:ascii="宋体" w:hAnsi="宋体" w:hint="eastAsia"/>
          <w:lang w:val="en-US" w:eastAsia="zh-CN"/>
        </w:rPr>
        <w:t>TDI</w:t>
      </w:r>
      <w:r>
        <w:rPr>
          <w:rFonts w:ascii="宋体" w:hAnsi="宋体"/>
          <w:lang w:val="en-US" w:eastAsia="zh-CN"/>
        </w:rPr>
        <w:t>产品，包括：</w:t>
      </w:r>
    </w:p>
    <w:p w:rsidR="00657EAA" w:rsidRDefault="00E763E8">
      <w:pPr>
        <w:pStyle w:val="af4"/>
        <w:numPr>
          <w:ilvl w:val="0"/>
          <w:numId w:val="2"/>
        </w:numPr>
        <w:spacing w:line="360" w:lineRule="auto"/>
        <w:ind w:firstLineChars="0"/>
        <w:jc w:val="both"/>
        <w:rPr>
          <w:rFonts w:ascii="宋体" w:hAnsi="宋体"/>
          <w:lang w:val="en-US" w:eastAsia="zh-CN"/>
        </w:rPr>
      </w:pPr>
      <w:r>
        <w:rPr>
          <w:rFonts w:ascii="宋体" w:hAnsi="宋体"/>
          <w:lang w:val="en-US" w:eastAsia="zh-CN"/>
        </w:rPr>
        <w:t>不得拒绝、限制或延迟向中国境内市场</w:t>
      </w:r>
      <w:r>
        <w:rPr>
          <w:rFonts w:ascii="宋体" w:hAnsi="宋体" w:hint="eastAsia"/>
          <w:lang w:val="en-US" w:eastAsia="zh-CN"/>
        </w:rPr>
        <w:t>客户</w:t>
      </w:r>
      <w:r>
        <w:rPr>
          <w:rFonts w:ascii="宋体" w:hAnsi="宋体"/>
          <w:lang w:val="en-US" w:eastAsia="zh-CN"/>
        </w:rPr>
        <w:t>供应产品；</w:t>
      </w:r>
    </w:p>
    <w:p w:rsidR="00657EAA" w:rsidRDefault="00E763E8">
      <w:pPr>
        <w:pStyle w:val="af4"/>
        <w:numPr>
          <w:ilvl w:val="0"/>
          <w:numId w:val="2"/>
        </w:numPr>
        <w:spacing w:line="360" w:lineRule="auto"/>
        <w:ind w:firstLineChars="0"/>
        <w:jc w:val="both"/>
        <w:rPr>
          <w:rFonts w:ascii="宋体" w:hAnsi="宋体"/>
          <w:lang w:val="en-US" w:eastAsia="zh-CN"/>
        </w:rPr>
      </w:pPr>
      <w:r>
        <w:rPr>
          <w:rFonts w:ascii="宋体" w:hAnsi="宋体"/>
          <w:lang w:val="en-US" w:eastAsia="zh-CN"/>
        </w:rPr>
        <w:t>不得降低向中国境内市场</w:t>
      </w:r>
      <w:r>
        <w:rPr>
          <w:rFonts w:ascii="宋体" w:hAnsi="宋体" w:hint="eastAsia"/>
          <w:lang w:val="en-US" w:eastAsia="zh-CN"/>
        </w:rPr>
        <w:t>客户</w:t>
      </w:r>
      <w:r>
        <w:rPr>
          <w:rFonts w:ascii="宋体" w:hAnsi="宋体"/>
          <w:lang w:val="en-US" w:eastAsia="zh-CN"/>
        </w:rPr>
        <w:t>供应产品的质量；</w:t>
      </w:r>
    </w:p>
    <w:p w:rsidR="00657EAA" w:rsidRDefault="00E763E8">
      <w:pPr>
        <w:pStyle w:val="af4"/>
        <w:numPr>
          <w:ilvl w:val="0"/>
          <w:numId w:val="2"/>
        </w:numPr>
        <w:spacing w:line="360" w:lineRule="auto"/>
        <w:ind w:firstLineChars="0"/>
        <w:jc w:val="both"/>
        <w:rPr>
          <w:rFonts w:ascii="宋体" w:hAnsi="宋体"/>
          <w:lang w:val="en-US" w:eastAsia="zh-CN"/>
        </w:rPr>
      </w:pPr>
      <w:r>
        <w:rPr>
          <w:rFonts w:ascii="宋体" w:hAnsi="宋体"/>
          <w:lang w:val="en-US" w:eastAsia="zh-CN"/>
        </w:rPr>
        <w:t>不得降低向中国境内市场</w:t>
      </w:r>
      <w:r>
        <w:rPr>
          <w:rFonts w:ascii="宋体" w:hAnsi="宋体" w:hint="eastAsia"/>
          <w:lang w:val="en-US" w:eastAsia="zh-CN"/>
        </w:rPr>
        <w:t>客户提供包装、储存、运输、</w:t>
      </w:r>
      <w:r>
        <w:rPr>
          <w:rFonts w:ascii="宋体" w:hAnsi="宋体"/>
          <w:lang w:val="en-US" w:eastAsia="zh-CN"/>
        </w:rPr>
        <w:t>交货期、</w:t>
      </w:r>
      <w:r>
        <w:rPr>
          <w:rFonts w:ascii="宋体" w:hAnsi="宋体" w:hint="eastAsia"/>
          <w:lang w:val="en-US" w:eastAsia="zh-CN"/>
        </w:rPr>
        <w:t>应急管理等方面</w:t>
      </w:r>
      <w:r>
        <w:rPr>
          <w:rFonts w:ascii="宋体" w:hAnsi="宋体"/>
          <w:lang w:val="en-US" w:eastAsia="zh-CN"/>
        </w:rPr>
        <w:t>的服务水平</w:t>
      </w:r>
      <w:r>
        <w:rPr>
          <w:rFonts w:ascii="宋体" w:hAnsi="宋体" w:hint="eastAsia"/>
          <w:lang w:val="en-US" w:eastAsia="zh-CN"/>
        </w:rPr>
        <w:t>；</w:t>
      </w:r>
    </w:p>
    <w:p w:rsidR="00657EAA" w:rsidRDefault="00E763E8">
      <w:pPr>
        <w:pStyle w:val="af4"/>
        <w:numPr>
          <w:ilvl w:val="0"/>
          <w:numId w:val="2"/>
        </w:numPr>
        <w:spacing w:line="360" w:lineRule="auto"/>
        <w:ind w:firstLineChars="0"/>
        <w:jc w:val="both"/>
        <w:rPr>
          <w:rFonts w:ascii="宋体" w:hAnsi="宋体"/>
          <w:lang w:val="en-US" w:eastAsia="zh-CN"/>
        </w:rPr>
      </w:pPr>
      <w:r>
        <w:rPr>
          <w:rFonts w:ascii="宋体" w:hAnsi="宋体" w:hint="eastAsia"/>
          <w:lang w:val="en-US" w:eastAsia="zh-CN"/>
        </w:rPr>
        <w:lastRenderedPageBreak/>
        <w:t>在同等条件下，除合理的商业惯例外，不得就价格、交货期、售后服务等交易条件对中国境内</w:t>
      </w:r>
      <w:r w:rsidR="00E32355">
        <w:rPr>
          <w:rFonts w:ascii="宋体" w:hAnsi="宋体" w:hint="eastAsia"/>
          <w:lang w:val="en-US" w:eastAsia="zh-CN"/>
        </w:rPr>
        <w:t>市场</w:t>
      </w:r>
      <w:r>
        <w:rPr>
          <w:rFonts w:ascii="宋体" w:hAnsi="宋体" w:hint="eastAsia"/>
          <w:lang w:val="en-US" w:eastAsia="zh-CN"/>
        </w:rPr>
        <w:t>客户实行差别待遇。</w:t>
      </w:r>
    </w:p>
    <w:p w:rsidR="00657EAA" w:rsidRDefault="00E763E8">
      <w:pPr>
        <w:pStyle w:val="af4"/>
        <w:numPr>
          <w:ilvl w:val="0"/>
          <w:numId w:val="1"/>
        </w:numPr>
        <w:spacing w:line="360" w:lineRule="auto"/>
        <w:ind w:left="0" w:firstLine="480"/>
        <w:jc w:val="both"/>
        <w:rPr>
          <w:rFonts w:ascii="宋体" w:hAnsi="宋体"/>
          <w:lang w:val="en-US" w:eastAsia="zh-CN"/>
        </w:rPr>
      </w:pPr>
      <w:r>
        <w:rPr>
          <w:rFonts w:ascii="宋体" w:hAnsi="宋体"/>
          <w:lang w:val="en-US" w:eastAsia="zh-CN"/>
        </w:rPr>
        <w:t>除非有正当理由，</w:t>
      </w:r>
      <w:r>
        <w:rPr>
          <w:rFonts w:ascii="宋体" w:hAnsi="宋体" w:hint="eastAsia"/>
          <w:lang w:val="en-US" w:eastAsia="zh-CN"/>
        </w:rPr>
        <w:t>交割完成后</w:t>
      </w:r>
      <w:r>
        <w:rPr>
          <w:rFonts w:ascii="宋体" w:hAnsi="宋体" w:hint="eastAsia"/>
          <w:lang w:eastAsia="zh-CN"/>
        </w:rPr>
        <w:t>交易双方和集中后实体</w:t>
      </w:r>
      <w:r>
        <w:rPr>
          <w:rFonts w:ascii="宋体" w:hAnsi="宋体" w:hint="eastAsia"/>
          <w:lang w:val="en-US" w:eastAsia="zh-CN"/>
        </w:rPr>
        <w:t>应遵守</w:t>
      </w:r>
      <w:r>
        <w:rPr>
          <w:rFonts w:ascii="宋体" w:hAnsi="宋体"/>
          <w:lang w:val="en-US" w:eastAsia="zh-CN"/>
        </w:rPr>
        <w:t>《反垄断法》</w:t>
      </w:r>
      <w:r>
        <w:rPr>
          <w:rFonts w:ascii="宋体" w:hAnsi="宋体" w:hint="eastAsia"/>
          <w:kern w:val="2"/>
          <w:lang w:val="en-US" w:eastAsia="zh-Hans"/>
        </w:rPr>
        <w:t>及其配套规章</w:t>
      </w:r>
      <w:r>
        <w:rPr>
          <w:rFonts w:ascii="宋体" w:hAnsi="宋体"/>
          <w:lang w:val="en-US" w:eastAsia="zh-CN"/>
        </w:rPr>
        <w:t>的规定</w:t>
      </w:r>
      <w:r>
        <w:rPr>
          <w:rFonts w:ascii="宋体" w:hAnsi="宋体" w:hint="eastAsia"/>
          <w:lang w:val="en-US" w:eastAsia="zh-CN"/>
        </w:rPr>
        <w:t>，不得</w:t>
      </w:r>
      <w:r>
        <w:rPr>
          <w:rFonts w:ascii="宋体" w:hAnsi="宋体"/>
          <w:lang w:val="en-US" w:eastAsia="zh-CN"/>
        </w:rPr>
        <w:t>强制中国境内市场客户排他性地采购</w:t>
      </w:r>
      <w:r>
        <w:rPr>
          <w:rFonts w:ascii="宋体" w:hAnsi="宋体" w:hint="eastAsia"/>
          <w:lang w:val="en-US" w:eastAsia="zh-CN"/>
        </w:rPr>
        <w:t>TDI</w:t>
      </w:r>
      <w:r>
        <w:rPr>
          <w:rFonts w:ascii="宋体" w:hAnsi="宋体"/>
          <w:lang w:val="en-US" w:eastAsia="zh-CN"/>
        </w:rPr>
        <w:t>产品</w:t>
      </w:r>
      <w:r>
        <w:rPr>
          <w:rFonts w:ascii="宋体" w:hAnsi="宋体" w:hint="eastAsia"/>
          <w:lang w:val="en-US" w:eastAsia="zh-CN"/>
        </w:rPr>
        <w:t>，或进行</w:t>
      </w:r>
      <w:r>
        <w:rPr>
          <w:rFonts w:ascii="宋体" w:hAnsi="宋体"/>
          <w:lang w:val="en-US" w:eastAsia="zh-CN"/>
        </w:rPr>
        <w:t>搭售</w:t>
      </w:r>
      <w:r>
        <w:rPr>
          <w:rFonts w:ascii="宋体" w:hAnsi="宋体" w:hint="eastAsia"/>
          <w:lang w:val="en-US" w:eastAsia="zh-CN"/>
        </w:rPr>
        <w:t>。</w:t>
      </w:r>
    </w:p>
    <w:p w:rsidR="00657EAA" w:rsidRDefault="00657EAA">
      <w:pPr>
        <w:pStyle w:val="af4"/>
        <w:spacing w:line="360" w:lineRule="auto"/>
        <w:ind w:left="420" w:firstLineChars="0" w:firstLine="0"/>
        <w:jc w:val="center"/>
        <w:rPr>
          <w:rFonts w:ascii="宋体" w:hAnsi="宋体"/>
          <w:b/>
          <w:lang w:val="en-US" w:eastAsia="zh-CN"/>
        </w:rPr>
      </w:pPr>
    </w:p>
    <w:p w:rsidR="00657EAA" w:rsidRDefault="00E763E8">
      <w:pPr>
        <w:spacing w:line="360" w:lineRule="auto"/>
        <w:jc w:val="center"/>
        <w:rPr>
          <w:rFonts w:ascii="宋体" w:hAnsi="宋体" w:cs="Times New Roman"/>
          <w:bCs/>
          <w:kern w:val="2"/>
          <w:lang w:val="en-US"/>
        </w:rPr>
      </w:pPr>
      <w:r>
        <w:rPr>
          <w:rFonts w:ascii="宋体" w:hAnsi="宋体" w:cs="Times New Roman"/>
          <w:bCs/>
          <w:kern w:val="2"/>
          <w:lang w:val="en-US"/>
        </w:rPr>
        <w:t>第三部分 定期报告</w:t>
      </w:r>
    </w:p>
    <w:p w:rsidR="00657EAA" w:rsidRDefault="00657EAA">
      <w:pPr>
        <w:pStyle w:val="af4"/>
        <w:spacing w:line="360" w:lineRule="auto"/>
        <w:ind w:left="420" w:firstLineChars="0" w:firstLine="0"/>
        <w:jc w:val="center"/>
        <w:rPr>
          <w:rFonts w:ascii="宋体" w:hAnsi="宋体"/>
          <w:b/>
          <w:lang w:val="en-US" w:eastAsia="zh-CN"/>
        </w:rPr>
      </w:pPr>
    </w:p>
    <w:p w:rsidR="00657EAA" w:rsidRDefault="00E763E8">
      <w:pPr>
        <w:spacing w:line="360" w:lineRule="auto"/>
        <w:ind w:firstLineChars="200" w:firstLine="480"/>
        <w:rPr>
          <w:rFonts w:ascii="宋体" w:hAnsi="宋体"/>
          <w:lang w:val="en-US"/>
        </w:rPr>
      </w:pPr>
      <w:r>
        <w:rPr>
          <w:rFonts w:ascii="宋体" w:hAnsi="宋体"/>
          <w:lang w:val="en-US"/>
        </w:rPr>
        <w:t>1.</w:t>
      </w:r>
      <w:r>
        <w:rPr>
          <w:rFonts w:ascii="宋体" w:hAnsi="宋体" w:hint="eastAsia"/>
          <w:lang w:val="en-US"/>
        </w:rPr>
        <w:t>自本次交易交割完成后，</w:t>
      </w:r>
      <w:r>
        <w:rPr>
          <w:rFonts w:ascii="宋体" w:hAnsi="宋体" w:hint="eastAsia"/>
        </w:rPr>
        <w:t>交易双方和集中后实体</w:t>
      </w:r>
      <w:r>
        <w:rPr>
          <w:rFonts w:ascii="宋体" w:hAnsi="宋体" w:hint="eastAsia"/>
          <w:lang w:val="en-US"/>
        </w:rPr>
        <w:t>应每年向市场监管总局报告本承诺方案的履行情况，直至本承诺方案的各项限制性条件终止。</w:t>
      </w:r>
    </w:p>
    <w:p w:rsidR="00657EAA" w:rsidRDefault="00E763E8">
      <w:pPr>
        <w:spacing w:line="360" w:lineRule="auto"/>
        <w:ind w:firstLineChars="200" w:firstLine="480"/>
        <w:rPr>
          <w:rFonts w:ascii="宋体" w:hAnsi="宋体"/>
          <w:lang w:val="en-US"/>
        </w:rPr>
      </w:pPr>
      <w:r>
        <w:rPr>
          <w:rFonts w:ascii="宋体" w:hAnsi="宋体" w:hint="eastAsia"/>
          <w:lang w:val="en-US"/>
        </w:rPr>
        <w:t>2.为履行本承诺方案，交易双方和集中后实体应制定履行方案并提交市场监管总局审查，并在市场监管总局批准后执行。</w:t>
      </w:r>
    </w:p>
    <w:p w:rsidR="00657EAA" w:rsidRDefault="00657EAA">
      <w:pPr>
        <w:spacing w:line="360" w:lineRule="auto"/>
        <w:jc w:val="center"/>
        <w:rPr>
          <w:rFonts w:ascii="宋体" w:hAnsi="宋体" w:cs="Times New Roman"/>
          <w:bCs/>
          <w:kern w:val="2"/>
          <w:lang w:val="en-US"/>
        </w:rPr>
      </w:pPr>
    </w:p>
    <w:p w:rsidR="00657EAA" w:rsidRDefault="00E763E8">
      <w:pPr>
        <w:spacing w:line="360" w:lineRule="auto"/>
        <w:jc w:val="center"/>
        <w:rPr>
          <w:rFonts w:ascii="宋体" w:hAnsi="宋体" w:cs="Times New Roman"/>
          <w:bCs/>
          <w:kern w:val="2"/>
          <w:lang w:val="en-US"/>
        </w:rPr>
      </w:pPr>
      <w:r>
        <w:rPr>
          <w:rFonts w:ascii="宋体" w:hAnsi="宋体" w:cs="Times New Roman"/>
          <w:bCs/>
          <w:kern w:val="2"/>
          <w:lang w:val="en-US"/>
        </w:rPr>
        <w:t>第四部分 其他事项</w:t>
      </w:r>
    </w:p>
    <w:p w:rsidR="00657EAA" w:rsidRDefault="00657EAA">
      <w:pPr>
        <w:spacing w:line="360" w:lineRule="auto"/>
        <w:jc w:val="center"/>
        <w:rPr>
          <w:rFonts w:ascii="宋体" w:hAnsi="宋体" w:cs="Times New Roman"/>
          <w:bCs/>
          <w:kern w:val="2"/>
          <w:lang w:val="en-US"/>
        </w:rPr>
      </w:pPr>
    </w:p>
    <w:p w:rsidR="00657EAA" w:rsidRDefault="00E763E8">
      <w:pPr>
        <w:pStyle w:val="af4"/>
        <w:numPr>
          <w:ilvl w:val="0"/>
          <w:numId w:val="3"/>
        </w:numPr>
        <w:spacing w:line="360" w:lineRule="auto"/>
        <w:ind w:left="0" w:firstLine="480"/>
        <w:jc w:val="both"/>
        <w:rPr>
          <w:rFonts w:ascii="宋体" w:hAnsi="宋体"/>
          <w:lang w:val="en-US" w:eastAsia="zh-CN"/>
        </w:rPr>
      </w:pPr>
      <w:r>
        <w:rPr>
          <w:rFonts w:ascii="宋体" w:hAnsi="宋体" w:hint="eastAsia"/>
          <w:lang w:val="en-US" w:eastAsia="zh-CN"/>
        </w:rPr>
        <w:t>交易双方和集中后实体将委托监督受托人，监督受托人应根据</w:t>
      </w:r>
      <w:r>
        <w:rPr>
          <w:rFonts w:ascii="宋体" w:hAnsi="宋体"/>
          <w:lang w:val="en-US" w:eastAsia="zh-CN"/>
        </w:rPr>
        <w:t>《反垄断法》</w:t>
      </w:r>
      <w:r>
        <w:rPr>
          <w:rFonts w:ascii="宋体" w:hAnsi="宋体" w:hint="eastAsia"/>
          <w:kern w:val="2"/>
          <w:lang w:val="en-US" w:eastAsia="zh-Hans"/>
        </w:rPr>
        <w:t>及其配套规章的规定，</w:t>
      </w:r>
      <w:r>
        <w:rPr>
          <w:rFonts w:ascii="宋体" w:hAnsi="宋体" w:hint="eastAsia"/>
          <w:lang w:val="en-US" w:eastAsia="zh-CN"/>
        </w:rPr>
        <w:t>监督交易双方和集中后实体履行限制性条件。</w:t>
      </w:r>
    </w:p>
    <w:p w:rsidR="00657EAA" w:rsidRDefault="00E763E8">
      <w:pPr>
        <w:pStyle w:val="af4"/>
        <w:numPr>
          <w:ilvl w:val="0"/>
          <w:numId w:val="3"/>
        </w:numPr>
        <w:spacing w:line="360" w:lineRule="auto"/>
        <w:ind w:left="0" w:firstLine="480"/>
        <w:jc w:val="both"/>
        <w:rPr>
          <w:rFonts w:ascii="宋体" w:hAnsi="宋体"/>
          <w:lang w:val="en-US" w:eastAsia="zh-CN"/>
        </w:rPr>
      </w:pPr>
      <w:r>
        <w:rPr>
          <w:rFonts w:ascii="宋体" w:hAnsi="宋体"/>
          <w:lang w:val="en-US" w:eastAsia="zh-CN"/>
        </w:rPr>
        <w:t>市场监管总局有权自行或者通过监督受托人监督检查</w:t>
      </w:r>
      <w:r>
        <w:rPr>
          <w:rFonts w:ascii="宋体" w:hAnsi="宋体" w:hint="eastAsia"/>
          <w:lang w:val="en-US" w:eastAsia="zh-CN"/>
        </w:rPr>
        <w:t>交易双方</w:t>
      </w:r>
      <w:r>
        <w:rPr>
          <w:rFonts w:ascii="宋体" w:hAnsi="宋体"/>
          <w:lang w:val="en-US" w:eastAsia="zh-CN"/>
        </w:rPr>
        <w:t>和集中后实体履行上述限制性条件的情况。如违反任何限制性条件，市场监管总局可根据《反垄断法》</w:t>
      </w:r>
      <w:r>
        <w:rPr>
          <w:rFonts w:ascii="宋体" w:hAnsi="宋体" w:hint="eastAsia"/>
          <w:lang w:val="en-US" w:eastAsia="zh-Hans"/>
        </w:rPr>
        <w:t>及其配套规章</w:t>
      </w:r>
      <w:r>
        <w:rPr>
          <w:rFonts w:ascii="宋体" w:hAnsi="宋体"/>
          <w:lang w:val="en-US" w:eastAsia="zh-CN"/>
        </w:rPr>
        <w:t>的相关规定</w:t>
      </w:r>
      <w:r>
        <w:rPr>
          <w:rFonts w:ascii="宋体" w:hAnsi="宋体" w:hint="eastAsia"/>
          <w:lang w:val="en-US" w:eastAsia="zh-CN"/>
        </w:rPr>
        <w:t>做出</w:t>
      </w:r>
      <w:r>
        <w:rPr>
          <w:rFonts w:ascii="宋体" w:hAnsi="宋体"/>
          <w:lang w:val="en-US" w:eastAsia="zh-CN"/>
        </w:rPr>
        <w:t>决定，</w:t>
      </w:r>
      <w:r>
        <w:rPr>
          <w:rFonts w:ascii="宋体" w:hAnsi="宋体" w:hint="eastAsia"/>
          <w:lang w:eastAsia="zh-CN"/>
        </w:rPr>
        <w:t>交易双方和集中后实体</w:t>
      </w:r>
      <w:r>
        <w:rPr>
          <w:rFonts w:ascii="宋体" w:hAnsi="宋体"/>
          <w:lang w:val="en-US" w:eastAsia="zh-CN"/>
        </w:rPr>
        <w:t>应承担相应的法律责任。</w:t>
      </w:r>
    </w:p>
    <w:p w:rsidR="00657EAA" w:rsidRDefault="00E763E8">
      <w:pPr>
        <w:pStyle w:val="af4"/>
        <w:numPr>
          <w:ilvl w:val="0"/>
          <w:numId w:val="3"/>
        </w:numPr>
        <w:spacing w:line="360" w:lineRule="auto"/>
        <w:ind w:left="0" w:firstLineChars="177" w:firstLine="425"/>
        <w:jc w:val="both"/>
        <w:rPr>
          <w:rFonts w:ascii="宋体" w:hAnsi="宋体"/>
          <w:lang w:val="en-US" w:eastAsia="zh-CN"/>
        </w:rPr>
      </w:pPr>
      <w:r>
        <w:rPr>
          <w:rFonts w:ascii="宋体" w:hAnsi="宋体"/>
          <w:lang w:val="en-US" w:eastAsia="zh-CN"/>
        </w:rPr>
        <w:t>本承诺方案第二部分所列的</w:t>
      </w:r>
      <w:r>
        <w:rPr>
          <w:rFonts w:ascii="宋体" w:hAnsi="宋体" w:hint="eastAsia"/>
          <w:lang w:val="en-US" w:eastAsia="zh-CN"/>
        </w:rPr>
        <w:t>限制性条件</w:t>
      </w:r>
      <w:r>
        <w:rPr>
          <w:rFonts w:ascii="宋体" w:hAnsi="宋体"/>
          <w:lang w:val="en-US" w:eastAsia="zh-CN"/>
        </w:rPr>
        <w:t>自</w:t>
      </w:r>
      <w:r>
        <w:rPr>
          <w:rFonts w:ascii="宋体" w:hAnsi="宋体" w:hint="eastAsia"/>
          <w:lang w:val="en-US" w:eastAsia="zh-CN"/>
        </w:rPr>
        <w:t>本次交易交割完成</w:t>
      </w:r>
      <w:r>
        <w:rPr>
          <w:rFonts w:ascii="宋体" w:hAnsi="宋体"/>
          <w:lang w:val="en-US" w:eastAsia="zh-CN"/>
        </w:rPr>
        <w:t>五（5）年内有效。</w:t>
      </w:r>
      <w:r>
        <w:rPr>
          <w:rFonts w:ascii="宋体" w:hAnsi="宋体" w:hint="eastAsia"/>
          <w:lang w:val="en-US" w:eastAsia="zh-CN"/>
        </w:rPr>
        <w:t>交易双方和集中后实体</w:t>
      </w:r>
      <w:r>
        <w:rPr>
          <w:rFonts w:ascii="宋体" w:hAnsi="宋体"/>
          <w:lang w:val="en-US" w:eastAsia="zh-CN"/>
        </w:rPr>
        <w:t>可在承诺期届满后向市场监管总局提出</w:t>
      </w:r>
      <w:bookmarkStart w:id="0" w:name="_GoBack"/>
      <w:bookmarkEnd w:id="0"/>
      <w:r>
        <w:rPr>
          <w:rFonts w:ascii="宋体" w:hAnsi="宋体"/>
          <w:lang w:val="en-US" w:eastAsia="zh-CN"/>
        </w:rPr>
        <w:t>解除</w:t>
      </w:r>
      <w:r>
        <w:rPr>
          <w:rFonts w:ascii="宋体" w:hAnsi="宋体" w:hint="eastAsia"/>
          <w:lang w:val="en-US" w:eastAsia="zh-CN"/>
        </w:rPr>
        <w:t>限制性条件</w:t>
      </w:r>
      <w:r>
        <w:rPr>
          <w:rFonts w:ascii="宋体" w:hAnsi="宋体"/>
          <w:lang w:val="en-US" w:eastAsia="zh-CN"/>
        </w:rPr>
        <w:t>的申请。</w:t>
      </w:r>
      <w:r>
        <w:rPr>
          <w:rFonts w:ascii="宋体" w:hAnsi="宋体" w:hint="eastAsia"/>
          <w:lang w:val="en-US" w:eastAsia="zh-CN"/>
        </w:rPr>
        <w:t>未经市场监管总局批准解除，交易双方和集中后实体应继续履行承诺措施。</w:t>
      </w:r>
    </w:p>
    <w:p w:rsidR="00657EAA" w:rsidRDefault="00E763E8">
      <w:pPr>
        <w:pStyle w:val="af4"/>
        <w:numPr>
          <w:ilvl w:val="0"/>
          <w:numId w:val="3"/>
        </w:numPr>
        <w:spacing w:line="360" w:lineRule="auto"/>
        <w:ind w:left="0" w:firstLineChars="177" w:firstLine="425"/>
        <w:jc w:val="both"/>
        <w:rPr>
          <w:rFonts w:ascii="宋体" w:hAnsi="宋体"/>
          <w:lang w:val="en-US" w:eastAsia="zh-CN"/>
        </w:rPr>
      </w:pPr>
      <w:r>
        <w:rPr>
          <w:rFonts w:ascii="宋体" w:hAnsi="宋体"/>
          <w:lang w:val="en-US" w:eastAsia="zh-CN"/>
        </w:rPr>
        <w:t>自生效日起，如果相关市场的竞争状况发生重大改变，或</w:t>
      </w:r>
      <w:r>
        <w:rPr>
          <w:rFonts w:ascii="宋体" w:hAnsi="宋体" w:hint="eastAsia"/>
          <w:lang w:eastAsia="zh-CN"/>
        </w:rPr>
        <w:t>交易双方和集中后实体</w:t>
      </w:r>
      <w:r>
        <w:rPr>
          <w:rFonts w:ascii="宋体" w:hAnsi="宋体"/>
          <w:lang w:val="en-US" w:eastAsia="zh-CN"/>
        </w:rPr>
        <w:t>发生重大变化时，可以向市场监管总局申请变更或解除限制性条件。</w:t>
      </w:r>
    </w:p>
    <w:p w:rsidR="00657EAA" w:rsidRDefault="00657EAA">
      <w:pPr>
        <w:spacing w:line="360" w:lineRule="auto"/>
        <w:jc w:val="center"/>
        <w:rPr>
          <w:rFonts w:ascii="宋体" w:hAnsi="宋体" w:cs="Times New Roman"/>
          <w:bCs/>
          <w:kern w:val="2"/>
          <w:lang w:val="en-US"/>
        </w:rPr>
      </w:pPr>
    </w:p>
    <w:p w:rsidR="00657EAA" w:rsidRDefault="00E763E8">
      <w:pPr>
        <w:spacing w:line="360" w:lineRule="auto"/>
        <w:jc w:val="center"/>
        <w:rPr>
          <w:rFonts w:ascii="宋体" w:hAnsi="宋体" w:cs="Times New Roman"/>
          <w:bCs/>
          <w:kern w:val="2"/>
          <w:lang w:val="en-US"/>
        </w:rPr>
      </w:pPr>
      <w:r>
        <w:rPr>
          <w:rFonts w:ascii="宋体" w:hAnsi="宋体" w:cs="Times New Roman"/>
          <w:bCs/>
          <w:kern w:val="2"/>
          <w:lang w:val="en-US"/>
        </w:rPr>
        <w:t>第五部分 效力</w:t>
      </w:r>
    </w:p>
    <w:p w:rsidR="00657EAA" w:rsidRDefault="00657EAA">
      <w:pPr>
        <w:spacing w:line="360" w:lineRule="auto"/>
        <w:jc w:val="center"/>
        <w:rPr>
          <w:rFonts w:ascii="宋体" w:hAnsi="宋体" w:cs="Times New Roman"/>
          <w:bCs/>
          <w:kern w:val="2"/>
          <w:lang w:val="en-US"/>
        </w:rPr>
      </w:pPr>
    </w:p>
    <w:p w:rsidR="00657EAA" w:rsidRDefault="00E763E8">
      <w:pPr>
        <w:pStyle w:val="af4"/>
        <w:spacing w:line="360" w:lineRule="auto"/>
        <w:ind w:left="640" w:firstLineChars="0" w:firstLine="0"/>
        <w:jc w:val="both"/>
        <w:rPr>
          <w:rFonts w:ascii="宋体" w:hAnsi="宋体"/>
          <w:lang w:val="en-US" w:eastAsia="zh-CN"/>
        </w:rPr>
      </w:pPr>
      <w:r>
        <w:rPr>
          <w:rFonts w:ascii="宋体" w:hAnsi="宋体"/>
          <w:lang w:val="en-US" w:eastAsia="zh-CN"/>
        </w:rPr>
        <w:t>本</w:t>
      </w:r>
      <w:r>
        <w:rPr>
          <w:rFonts w:ascii="宋体" w:hAnsi="宋体" w:hint="eastAsia"/>
          <w:lang w:val="en-US" w:eastAsia="zh-CN"/>
        </w:rPr>
        <w:t>承诺方案</w:t>
      </w:r>
      <w:r>
        <w:rPr>
          <w:rFonts w:ascii="宋体" w:hAnsi="宋体"/>
          <w:lang w:val="en-US" w:eastAsia="zh-CN"/>
        </w:rPr>
        <w:t>自生效日起生效。</w:t>
      </w:r>
    </w:p>
    <w:p w:rsidR="00657EAA" w:rsidRDefault="00657EAA">
      <w:pPr>
        <w:rPr>
          <w:rFonts w:ascii="宋体" w:hAnsi="宋体"/>
          <w:lang w:val="en-US"/>
        </w:rPr>
      </w:pPr>
    </w:p>
    <w:sectPr w:rsidR="00657EAA">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4478" w:rsidRDefault="00AE4478">
      <w:r>
        <w:separator/>
      </w:r>
    </w:p>
  </w:endnote>
  <w:endnote w:type="continuationSeparator" w:id="0">
    <w:p w:rsidR="00AE4478" w:rsidRDefault="00AE4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7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华文中宋">
    <w:altName w:val="汉仪书宋二KW"/>
    <w:panose1 w:val="02010600040101010101"/>
    <w:charset w:val="86"/>
    <w:family w:val="auto"/>
    <w:pitch w:val="variable"/>
    <w:sig w:usb0="00000287" w:usb1="080F0000" w:usb2="00000010" w:usb3="00000000" w:csb0="0004009F" w:csb1="00000000"/>
  </w:font>
  <w:font w:name="仿宋">
    <w:altName w:val="方正仿宋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EAA" w:rsidRDefault="00E763E8">
    <w:pPr>
      <w:pStyle w:val="a9"/>
      <w:jc w:val="center"/>
    </w:pP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w:t>
    </w:r>
    <w:r>
      <w:rPr>
        <w:b/>
        <w:bCs/>
        <w:sz w:val="24"/>
        <w:szCs w:val="24"/>
      </w:rPr>
      <w:fldChar w:fldCharType="end"/>
    </w:r>
  </w:p>
  <w:p w:rsidR="00657EAA" w:rsidRDefault="00657EA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4478" w:rsidRDefault="00AE4478">
      <w:r>
        <w:separator/>
      </w:r>
    </w:p>
  </w:footnote>
  <w:footnote w:type="continuationSeparator" w:id="0">
    <w:p w:rsidR="00AE4478" w:rsidRDefault="00AE4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EAA" w:rsidRDefault="00E763E8">
    <w:pPr>
      <w:pStyle w:val="ab"/>
      <w:jc w:val="both"/>
      <w:rPr>
        <w:rFonts w:ascii="仿宋" w:eastAsia="仿宋" w:hAnsi="仿宋" w:cs="Times New Roman"/>
        <w:b/>
        <w:lang w:val="en-US"/>
      </w:rPr>
    </w:pPr>
    <w:r>
      <w:rPr>
        <w:rFonts w:ascii="仿宋" w:eastAsia="仿宋" w:hAnsi="仿宋" w:cs="Times New Roman" w:hint="eastAsia"/>
        <w:b/>
        <w:lang w:val="en-US" w:eastAsia="zh-Hans"/>
      </w:rPr>
      <w:t>公开</w:t>
    </w:r>
    <w:r>
      <w:rPr>
        <w:rFonts w:ascii="仿宋" w:eastAsia="仿宋" w:hAnsi="仿宋" w:cs="Times New Roman" w:hint="eastAsia"/>
        <w:b/>
        <w:lang w:val="en-US"/>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8"/>
    <w:multiLevelType w:val="multilevel"/>
    <w:tmpl w:val="00000008"/>
    <w:lvl w:ilvl="0">
      <w:start w:val="1"/>
      <w:numFmt w:val="decimal"/>
      <w:lvlText w:val="（%1）"/>
      <w:lvlJc w:val="left"/>
      <w:pPr>
        <w:ind w:left="846" w:hanging="420"/>
      </w:pPr>
      <w:rPr>
        <w:rFonts w:hint="eastAsia"/>
        <w:sz w:val="24"/>
        <w:szCs w:val="24"/>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39DF6536"/>
    <w:multiLevelType w:val="multilevel"/>
    <w:tmpl w:val="39DF6536"/>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B56"/>
    <w:rsid w:val="BF5F9292"/>
    <w:rsid w:val="C9CA1F15"/>
    <w:rsid w:val="FB25FDD0"/>
    <w:rsid w:val="FB7B36C4"/>
    <w:rsid w:val="FFFE11B6"/>
    <w:rsid w:val="00072727"/>
    <w:rsid w:val="000A4B7B"/>
    <w:rsid w:val="000D4BF1"/>
    <w:rsid w:val="000F6C3B"/>
    <w:rsid w:val="001015E4"/>
    <w:rsid w:val="00120AB2"/>
    <w:rsid w:val="00163FDC"/>
    <w:rsid w:val="001930F7"/>
    <w:rsid w:val="001B0D15"/>
    <w:rsid w:val="001C6A58"/>
    <w:rsid w:val="001F04C1"/>
    <w:rsid w:val="001F64D6"/>
    <w:rsid w:val="00202373"/>
    <w:rsid w:val="00253EFD"/>
    <w:rsid w:val="00267EEE"/>
    <w:rsid w:val="00271704"/>
    <w:rsid w:val="0027799A"/>
    <w:rsid w:val="0029605A"/>
    <w:rsid w:val="002E28F0"/>
    <w:rsid w:val="002F673A"/>
    <w:rsid w:val="00314975"/>
    <w:rsid w:val="00316962"/>
    <w:rsid w:val="003327AE"/>
    <w:rsid w:val="003466D1"/>
    <w:rsid w:val="003501E7"/>
    <w:rsid w:val="00374CE7"/>
    <w:rsid w:val="003E3B8B"/>
    <w:rsid w:val="003E7EDA"/>
    <w:rsid w:val="004031D1"/>
    <w:rsid w:val="00415AB4"/>
    <w:rsid w:val="004411C9"/>
    <w:rsid w:val="004F416B"/>
    <w:rsid w:val="00557607"/>
    <w:rsid w:val="00564772"/>
    <w:rsid w:val="005A3BC2"/>
    <w:rsid w:val="005C5EA7"/>
    <w:rsid w:val="005F6C9F"/>
    <w:rsid w:val="00612B81"/>
    <w:rsid w:val="006219C8"/>
    <w:rsid w:val="0063796B"/>
    <w:rsid w:val="00657EAA"/>
    <w:rsid w:val="00676146"/>
    <w:rsid w:val="0067634D"/>
    <w:rsid w:val="006F3C75"/>
    <w:rsid w:val="00742425"/>
    <w:rsid w:val="00771CBB"/>
    <w:rsid w:val="00774C40"/>
    <w:rsid w:val="00800660"/>
    <w:rsid w:val="0082600E"/>
    <w:rsid w:val="008669C5"/>
    <w:rsid w:val="008E5B27"/>
    <w:rsid w:val="008E789F"/>
    <w:rsid w:val="008F4542"/>
    <w:rsid w:val="009310CF"/>
    <w:rsid w:val="00966C9B"/>
    <w:rsid w:val="00A223DC"/>
    <w:rsid w:val="00A93805"/>
    <w:rsid w:val="00A94A24"/>
    <w:rsid w:val="00AD2D05"/>
    <w:rsid w:val="00AE4478"/>
    <w:rsid w:val="00B43772"/>
    <w:rsid w:val="00B43825"/>
    <w:rsid w:val="00B465CC"/>
    <w:rsid w:val="00B666BA"/>
    <w:rsid w:val="00BD306B"/>
    <w:rsid w:val="00BE3E74"/>
    <w:rsid w:val="00BF0896"/>
    <w:rsid w:val="00C014CB"/>
    <w:rsid w:val="00C06FD7"/>
    <w:rsid w:val="00C55B56"/>
    <w:rsid w:val="00C72B0D"/>
    <w:rsid w:val="00C842CF"/>
    <w:rsid w:val="00DB2E84"/>
    <w:rsid w:val="00DB7251"/>
    <w:rsid w:val="00E32355"/>
    <w:rsid w:val="00E36A4D"/>
    <w:rsid w:val="00E40F93"/>
    <w:rsid w:val="00E64331"/>
    <w:rsid w:val="00E763E8"/>
    <w:rsid w:val="00E87928"/>
    <w:rsid w:val="00EA72D4"/>
    <w:rsid w:val="00EC367F"/>
    <w:rsid w:val="00F1421E"/>
    <w:rsid w:val="00FF016D"/>
    <w:rsid w:val="5EE741B7"/>
    <w:rsid w:val="6BFB8535"/>
    <w:rsid w:val="6FDFF4DE"/>
    <w:rsid w:val="77E12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0AF1B13"/>
  <w15:docId w15:val="{4689DFAE-7AB7-BF43-96B6-21BF2BA3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ngXian" w:eastAsia="DengXian" w:hAnsi="DengXian" w:cs="宋体"/>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jc w:val="both"/>
    </w:pPr>
    <w:rPr>
      <w:rFonts w:ascii="Times New Roman" w:eastAsia="宋体" w:hAnsi="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Date"/>
    <w:basedOn w:val="a"/>
    <w:next w:val="a"/>
    <w:link w:val="a6"/>
    <w:uiPriority w:val="99"/>
    <w:qFormat/>
    <w:pPr>
      <w:ind w:leftChars="2500" w:left="100"/>
    </w:pPr>
  </w:style>
  <w:style w:type="paragraph" w:styleId="a7">
    <w:name w:val="Balloon Text"/>
    <w:basedOn w:val="a"/>
    <w:link w:val="a8"/>
    <w:uiPriority w:val="99"/>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next w:val="a"/>
    <w:link w:val="ae"/>
    <w:uiPriority w:val="99"/>
    <w:qFormat/>
    <w:pPr>
      <w:snapToGrid w:val="0"/>
      <w:jc w:val="left"/>
    </w:pPr>
    <w:rPr>
      <w:sz w:val="18"/>
      <w:szCs w:val="18"/>
    </w:rPr>
  </w:style>
  <w:style w:type="paragraph" w:styleId="af">
    <w:name w:val="Title"/>
    <w:basedOn w:val="a"/>
    <w:next w:val="a"/>
    <w:link w:val="af0"/>
    <w:uiPriority w:val="10"/>
    <w:qFormat/>
    <w:pPr>
      <w:spacing w:before="240" w:after="60"/>
      <w:jc w:val="center"/>
      <w:outlineLvl w:val="0"/>
    </w:pPr>
    <w:rPr>
      <w:rFonts w:ascii="等线 Light" w:eastAsia="等线 Light" w:hAnsi="等线 Light"/>
      <w:b/>
      <w:bCs/>
      <w:sz w:val="32"/>
      <w:szCs w:val="32"/>
    </w:rPr>
  </w:style>
  <w:style w:type="paragraph" w:styleId="af1">
    <w:name w:val="annotation subject"/>
    <w:basedOn w:val="a3"/>
    <w:next w:val="a3"/>
    <w:link w:val="af2"/>
    <w:uiPriority w:val="99"/>
    <w:semiHidden/>
    <w:unhideWhenUsed/>
    <w:qFormat/>
    <w:rPr>
      <w:b/>
      <w:bCs/>
    </w:rPr>
  </w:style>
  <w:style w:type="character" w:styleId="af3">
    <w:name w:val="annotation reference"/>
    <w:basedOn w:val="a0"/>
    <w:uiPriority w:val="99"/>
    <w:qFormat/>
    <w:rPr>
      <w:sz w:val="21"/>
      <w:szCs w:val="21"/>
    </w:rPr>
  </w:style>
  <w:style w:type="character" w:styleId="ae">
    <w:name w:val="footnote reference"/>
    <w:aliases w:val="脚注文本 字符"/>
    <w:basedOn w:val="a0"/>
    <w:link w:val="ad"/>
    <w:uiPriority w:val="99"/>
    <w:qFormat/>
    <w:rPr>
      <w:vertAlign w:val="superscript"/>
    </w:rPr>
  </w:style>
  <w:style w:type="character" w:customStyle="1" w:styleId="aa">
    <w:name w:val="页脚 字符"/>
    <w:basedOn w:val="a0"/>
    <w:link w:val="a9"/>
    <w:uiPriority w:val="99"/>
    <w:qFormat/>
    <w:rPr>
      <w:rFonts w:ascii="Times New Roman" w:eastAsia="宋体" w:hAnsi="Times New Roman" w:cs="宋体"/>
      <w:kern w:val="0"/>
      <w:sz w:val="18"/>
      <w:szCs w:val="18"/>
      <w:lang w:val="en-GB"/>
    </w:rPr>
  </w:style>
  <w:style w:type="character" w:customStyle="1" w:styleId="ac">
    <w:name w:val="页眉 字符"/>
    <w:basedOn w:val="a0"/>
    <w:link w:val="ab"/>
    <w:uiPriority w:val="99"/>
    <w:qFormat/>
    <w:rPr>
      <w:rFonts w:ascii="Times New Roman" w:eastAsia="宋体" w:hAnsi="Times New Roman" w:cs="宋体"/>
      <w:kern w:val="0"/>
      <w:sz w:val="18"/>
      <w:szCs w:val="18"/>
      <w:lang w:val="en-GB"/>
    </w:rPr>
  </w:style>
  <w:style w:type="paragraph" w:styleId="af4">
    <w:name w:val="List Paragraph"/>
    <w:basedOn w:val="a"/>
    <w:link w:val="af5"/>
    <w:uiPriority w:val="34"/>
    <w:qFormat/>
    <w:pPr>
      <w:autoSpaceDE w:val="0"/>
      <w:autoSpaceDN w:val="0"/>
      <w:adjustRightInd w:val="0"/>
      <w:ind w:firstLineChars="200" w:firstLine="200"/>
      <w:jc w:val="left"/>
    </w:pPr>
    <w:rPr>
      <w:rFonts w:cs="Times New Roman"/>
      <w:lang w:eastAsia="en-US"/>
    </w:rPr>
  </w:style>
  <w:style w:type="character" w:customStyle="1" w:styleId="af5">
    <w:name w:val="列表段落 字符"/>
    <w:link w:val="af4"/>
    <w:uiPriority w:val="34"/>
    <w:qFormat/>
    <w:rPr>
      <w:rFonts w:ascii="Times New Roman" w:eastAsia="宋体" w:hAnsi="Times New Roman" w:cs="Times New Roman"/>
      <w:kern w:val="0"/>
      <w:sz w:val="24"/>
      <w:szCs w:val="24"/>
      <w:lang w:val="en-GB" w:eastAsia="en-US"/>
    </w:rPr>
  </w:style>
  <w:style w:type="paragraph" w:customStyle="1" w:styleId="af6">
    <w:name w:val="一级标题"/>
    <w:basedOn w:val="af"/>
    <w:qFormat/>
    <w:pPr>
      <w:adjustRightInd w:val="0"/>
      <w:spacing w:line="440" w:lineRule="exact"/>
      <w:ind w:firstLineChars="200" w:firstLine="640"/>
    </w:pPr>
    <w:rPr>
      <w:rFonts w:ascii="华文中宋" w:eastAsia="华文中宋" w:hAnsi="华文中宋" w:cs="Times New Roman"/>
      <w:bCs w:val="0"/>
      <w:szCs w:val="30"/>
      <w:lang w:eastAsia="en-US"/>
    </w:rPr>
  </w:style>
  <w:style w:type="character" w:customStyle="1" w:styleId="af0">
    <w:name w:val="标题 字符"/>
    <w:basedOn w:val="a0"/>
    <w:link w:val="af"/>
    <w:uiPriority w:val="10"/>
    <w:qFormat/>
    <w:rPr>
      <w:rFonts w:ascii="等线 Light" w:eastAsia="等线 Light" w:hAnsi="等线 Light" w:cs="宋体"/>
      <w:b/>
      <w:bCs/>
      <w:kern w:val="0"/>
      <w:sz w:val="32"/>
      <w:szCs w:val="32"/>
      <w:lang w:val="en-GB"/>
    </w:rPr>
  </w:style>
  <w:style w:type="paragraph" w:customStyle="1" w:styleId="1">
    <w:name w:val="修订1"/>
    <w:uiPriority w:val="99"/>
    <w:qFormat/>
    <w:rPr>
      <w:rFonts w:ascii="Times New Roman" w:eastAsia="宋体" w:hAnsi="Times New Roman"/>
      <w:sz w:val="24"/>
      <w:szCs w:val="24"/>
      <w:lang w:val="en-GB"/>
    </w:rPr>
  </w:style>
  <w:style w:type="character" w:customStyle="1" w:styleId="a4">
    <w:name w:val="批注文字 字符"/>
    <w:basedOn w:val="a0"/>
    <w:link w:val="a3"/>
    <w:uiPriority w:val="99"/>
    <w:qFormat/>
    <w:rPr>
      <w:rFonts w:ascii="Times New Roman" w:eastAsia="宋体" w:hAnsi="Times New Roman"/>
      <w:kern w:val="0"/>
      <w:sz w:val="24"/>
      <w:szCs w:val="24"/>
      <w:lang w:val="en-GB"/>
    </w:rPr>
  </w:style>
  <w:style w:type="character" w:customStyle="1" w:styleId="a8">
    <w:name w:val="批注框文本 字符"/>
    <w:basedOn w:val="a0"/>
    <w:link w:val="a7"/>
    <w:uiPriority w:val="99"/>
    <w:qFormat/>
    <w:rPr>
      <w:rFonts w:ascii="Times New Roman" w:eastAsia="宋体" w:hAnsi="Times New Roman"/>
      <w:kern w:val="0"/>
      <w:sz w:val="18"/>
      <w:szCs w:val="18"/>
      <w:lang w:val="en-GB"/>
    </w:rPr>
  </w:style>
  <w:style w:type="character" w:customStyle="1" w:styleId="a6">
    <w:name w:val="日期 字符"/>
    <w:basedOn w:val="a0"/>
    <w:link w:val="a5"/>
    <w:uiPriority w:val="99"/>
    <w:qFormat/>
    <w:rPr>
      <w:rFonts w:ascii="Times New Roman" w:eastAsia="宋体" w:hAnsi="Times New Roman"/>
      <w:kern w:val="0"/>
      <w:sz w:val="24"/>
      <w:szCs w:val="24"/>
      <w:lang w:val="en-GB"/>
    </w:rPr>
  </w:style>
  <w:style w:type="character" w:customStyle="1" w:styleId="af2">
    <w:name w:val="批注主题 字符"/>
    <w:basedOn w:val="a4"/>
    <w:link w:val="af1"/>
    <w:uiPriority w:val="99"/>
    <w:semiHidden/>
    <w:qFormat/>
    <w:rPr>
      <w:rFonts w:ascii="Times New Roman" w:eastAsia="宋体" w:hAnsi="Times New Roman"/>
      <w:b/>
      <w:bCs/>
      <w:kern w:val="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569</Words>
  <Characters>1459</Characters>
  <Application>Microsoft Office Word</Application>
  <DocSecurity>0</DocSecurity>
  <Lines>24</Lines>
  <Paragraphs>3</Paragraphs>
  <ScaleCrop>false</ScaleCrop>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DeHeng</cp:lastModifiedBy>
  <cp:revision>9</cp:revision>
  <cp:lastPrinted>2023-03-07T17:29:00Z</cp:lastPrinted>
  <dcterms:created xsi:type="dcterms:W3CDTF">2023-03-31T17:27:00Z</dcterms:created>
  <dcterms:modified xsi:type="dcterms:W3CDTF">2023-04-07T11:14:00Z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8242554939574b9891c62335ee256837</vt:lpwstr>
  </property>
  <property fmtid="{D5CDD505-2E9C-101B-9397-08002B2CF9AE}" pid="3" name="KSOProductBuildVer">
    <vt:lpwstr>2052-4.2.0.6720</vt:lpwstr>
  </property>
</Properties>
</file>